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7850" w14:textId="77777777" w:rsidR="00040C3A" w:rsidRPr="0046030A" w:rsidRDefault="006311DA" w:rsidP="00627C9F">
      <w:pPr>
        <w:jc w:val="both"/>
        <w:rPr>
          <w:rFonts w:asciiTheme="majorHAnsi" w:hAnsiTheme="majorHAnsi" w:cs="Univers"/>
          <w:b/>
          <w:bCs/>
          <w:sz w:val="22"/>
          <w:szCs w:val="22"/>
          <w:lang w:val="es-ES_tradnl"/>
        </w:rPr>
      </w:pPr>
      <w:r w:rsidRPr="0046030A">
        <w:rPr>
          <w:rFonts w:asciiTheme="majorHAnsi" w:hAnsiTheme="majorHAnsi"/>
          <w:noProof/>
          <w:sz w:val="22"/>
          <w:szCs w:val="22"/>
        </w:rPr>
        <mc:AlternateContent>
          <mc:Choice Requires="wps">
            <w:drawing>
              <wp:anchor distT="0" distB="0" distL="114300" distR="114300" simplePos="0" relativeHeight="251652096"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5C218" id="Rectangle 1" o:spid="_x0000_s1026" style="position:absolute;margin-left:-32.75pt;margin-top:-28.1pt;width:111pt;height:70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46030A">
        <w:rPr>
          <w:rFonts w:asciiTheme="majorHAnsi" w:hAnsiTheme="majorHAnsi"/>
          <w:noProof/>
          <w:sz w:val="22"/>
          <w:szCs w:val="22"/>
        </w:rPr>
        <mc:AlternateContent>
          <mc:Choice Requires="wps">
            <w:drawing>
              <wp:anchor distT="0" distB="0" distL="114300" distR="114300" simplePos="0" relativeHeight="251656192"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52C53DB" w14:textId="77777777" w:rsidR="00040C3A" w:rsidRPr="0046030A" w:rsidRDefault="00040C3A" w:rsidP="00040C3A">
      <w:pPr>
        <w:tabs>
          <w:tab w:val="center" w:pos="5400"/>
        </w:tabs>
        <w:suppressAutoHyphens/>
        <w:jc w:val="both"/>
        <w:rPr>
          <w:rFonts w:asciiTheme="majorHAnsi" w:hAnsiTheme="majorHAnsi"/>
          <w:sz w:val="22"/>
          <w:szCs w:val="22"/>
          <w:lang w:val="es-ES"/>
        </w:rPr>
      </w:pPr>
    </w:p>
    <w:p w14:paraId="1099B448" w14:textId="77777777" w:rsidR="00040C3A" w:rsidRPr="0046030A" w:rsidRDefault="00040C3A" w:rsidP="00040C3A">
      <w:pPr>
        <w:tabs>
          <w:tab w:val="center" w:pos="5400"/>
        </w:tabs>
        <w:suppressAutoHyphens/>
        <w:jc w:val="both"/>
        <w:rPr>
          <w:rFonts w:asciiTheme="majorHAnsi" w:hAnsiTheme="majorHAnsi"/>
          <w:sz w:val="22"/>
          <w:szCs w:val="22"/>
          <w:lang w:val="es-ES"/>
        </w:rPr>
      </w:pPr>
    </w:p>
    <w:p w14:paraId="73A5D8B6" w14:textId="77777777" w:rsidR="005128E4" w:rsidRPr="0046030A" w:rsidRDefault="005128E4" w:rsidP="00040C3A">
      <w:pPr>
        <w:tabs>
          <w:tab w:val="center" w:pos="5400"/>
        </w:tabs>
        <w:suppressAutoHyphens/>
        <w:rPr>
          <w:rFonts w:asciiTheme="majorHAnsi" w:hAnsiTheme="majorHAnsi"/>
          <w:sz w:val="22"/>
          <w:szCs w:val="22"/>
          <w:lang w:val="es-ES_tradnl"/>
        </w:rPr>
      </w:pPr>
    </w:p>
    <w:p w14:paraId="3C77C4EA" w14:textId="77777777" w:rsidR="005128E4" w:rsidRPr="0046030A" w:rsidRDefault="005128E4" w:rsidP="00040C3A">
      <w:pPr>
        <w:tabs>
          <w:tab w:val="center" w:pos="5400"/>
        </w:tabs>
        <w:suppressAutoHyphens/>
        <w:rPr>
          <w:rFonts w:asciiTheme="majorHAnsi" w:hAnsiTheme="majorHAnsi"/>
          <w:sz w:val="22"/>
          <w:szCs w:val="22"/>
          <w:lang w:val="es-ES_tradnl"/>
        </w:rPr>
      </w:pPr>
    </w:p>
    <w:p w14:paraId="59CA1627" w14:textId="77777777" w:rsidR="005128E4" w:rsidRPr="0046030A" w:rsidRDefault="005128E4" w:rsidP="00040C3A">
      <w:pPr>
        <w:tabs>
          <w:tab w:val="center" w:pos="5400"/>
        </w:tabs>
        <w:suppressAutoHyphens/>
        <w:rPr>
          <w:rFonts w:asciiTheme="majorHAnsi" w:hAnsiTheme="majorHAnsi"/>
          <w:sz w:val="22"/>
          <w:szCs w:val="22"/>
          <w:lang w:val="es-ES_tradnl"/>
        </w:rPr>
      </w:pPr>
    </w:p>
    <w:p w14:paraId="38C0CB82" w14:textId="77777777" w:rsidR="00040C3A" w:rsidRPr="0046030A" w:rsidRDefault="00040C3A" w:rsidP="005128E4">
      <w:pPr>
        <w:tabs>
          <w:tab w:val="center" w:pos="5400"/>
        </w:tabs>
        <w:suppressAutoHyphens/>
        <w:jc w:val="center"/>
        <w:rPr>
          <w:rFonts w:asciiTheme="majorHAnsi" w:hAnsiTheme="majorHAnsi"/>
          <w:sz w:val="22"/>
          <w:szCs w:val="22"/>
          <w:lang w:val="es-ES_tradnl"/>
        </w:rPr>
      </w:pPr>
    </w:p>
    <w:p w14:paraId="574BFEEF" w14:textId="77777777" w:rsidR="00040C3A" w:rsidRPr="0046030A" w:rsidRDefault="00040C3A" w:rsidP="005128E4">
      <w:pPr>
        <w:tabs>
          <w:tab w:val="center" w:pos="5400"/>
        </w:tabs>
        <w:suppressAutoHyphens/>
        <w:jc w:val="center"/>
        <w:rPr>
          <w:rFonts w:asciiTheme="majorHAnsi" w:hAnsiTheme="majorHAnsi"/>
          <w:sz w:val="22"/>
          <w:szCs w:val="22"/>
          <w:lang w:val="es-ES_tradnl"/>
        </w:rPr>
      </w:pPr>
    </w:p>
    <w:p w14:paraId="19800652" w14:textId="77777777" w:rsidR="005B52B0" w:rsidRPr="0046030A" w:rsidRDefault="005B52B0" w:rsidP="005128E4">
      <w:pPr>
        <w:tabs>
          <w:tab w:val="center" w:pos="5400"/>
        </w:tabs>
        <w:suppressAutoHyphens/>
        <w:jc w:val="center"/>
        <w:rPr>
          <w:rFonts w:asciiTheme="majorHAnsi" w:hAnsiTheme="majorHAnsi"/>
          <w:sz w:val="22"/>
          <w:szCs w:val="22"/>
          <w:lang w:val="es-ES_tradnl"/>
        </w:rPr>
      </w:pPr>
    </w:p>
    <w:p w14:paraId="5F7F360E" w14:textId="77777777" w:rsidR="005B52B0" w:rsidRPr="0046030A" w:rsidRDefault="005B52B0" w:rsidP="005128E4">
      <w:pPr>
        <w:tabs>
          <w:tab w:val="center" w:pos="5400"/>
        </w:tabs>
        <w:suppressAutoHyphens/>
        <w:jc w:val="center"/>
        <w:rPr>
          <w:rFonts w:asciiTheme="majorHAnsi" w:hAnsiTheme="majorHAnsi"/>
          <w:sz w:val="22"/>
          <w:szCs w:val="22"/>
          <w:lang w:val="es-ES_tradnl"/>
        </w:rPr>
      </w:pPr>
    </w:p>
    <w:p w14:paraId="2E498EC1" w14:textId="77777777" w:rsidR="005B52B0" w:rsidRPr="0046030A" w:rsidRDefault="005B52B0" w:rsidP="005128E4">
      <w:pPr>
        <w:tabs>
          <w:tab w:val="center" w:pos="5400"/>
        </w:tabs>
        <w:suppressAutoHyphens/>
        <w:jc w:val="center"/>
        <w:rPr>
          <w:rFonts w:asciiTheme="majorHAnsi" w:hAnsiTheme="majorHAnsi"/>
          <w:sz w:val="22"/>
          <w:szCs w:val="22"/>
          <w:lang w:val="es-ES_tradnl"/>
        </w:rPr>
      </w:pPr>
    </w:p>
    <w:p w14:paraId="56F64985" w14:textId="77777777" w:rsidR="00040C3A" w:rsidRPr="0046030A" w:rsidRDefault="00040C3A" w:rsidP="00040C3A">
      <w:pPr>
        <w:tabs>
          <w:tab w:val="center" w:pos="5400"/>
        </w:tabs>
        <w:suppressAutoHyphens/>
        <w:jc w:val="center"/>
        <w:rPr>
          <w:rFonts w:asciiTheme="majorHAnsi" w:hAnsiTheme="majorHAnsi"/>
          <w:sz w:val="22"/>
          <w:szCs w:val="22"/>
          <w:lang w:val="es-ES_tradnl"/>
        </w:rPr>
      </w:pPr>
    </w:p>
    <w:p w14:paraId="416F5120" w14:textId="77777777" w:rsidR="00040C3A" w:rsidRPr="0046030A" w:rsidRDefault="00040C3A" w:rsidP="00040C3A">
      <w:pPr>
        <w:tabs>
          <w:tab w:val="center" w:pos="5400"/>
        </w:tabs>
        <w:suppressAutoHyphens/>
        <w:jc w:val="center"/>
        <w:rPr>
          <w:rFonts w:asciiTheme="majorHAnsi" w:hAnsiTheme="majorHAnsi"/>
          <w:sz w:val="22"/>
          <w:szCs w:val="22"/>
          <w:lang w:val="es-ES_tradnl"/>
        </w:rPr>
      </w:pPr>
    </w:p>
    <w:p w14:paraId="66882259" w14:textId="77777777" w:rsidR="00040C3A" w:rsidRPr="0046030A" w:rsidRDefault="00040C3A" w:rsidP="00040C3A">
      <w:pPr>
        <w:tabs>
          <w:tab w:val="center" w:pos="5400"/>
        </w:tabs>
        <w:suppressAutoHyphens/>
        <w:jc w:val="center"/>
        <w:rPr>
          <w:rFonts w:asciiTheme="majorHAnsi" w:hAnsiTheme="majorHAnsi"/>
          <w:sz w:val="22"/>
          <w:szCs w:val="22"/>
          <w:lang w:val="es-ES_tradnl"/>
        </w:rPr>
      </w:pPr>
    </w:p>
    <w:p w14:paraId="0F9A957D" w14:textId="77777777" w:rsidR="00040C3A" w:rsidRPr="0046030A" w:rsidRDefault="00E533FF" w:rsidP="00040C3A">
      <w:pPr>
        <w:tabs>
          <w:tab w:val="center" w:pos="5400"/>
        </w:tabs>
        <w:suppressAutoHyphens/>
        <w:jc w:val="center"/>
        <w:rPr>
          <w:rFonts w:asciiTheme="majorHAnsi" w:hAnsiTheme="majorHAnsi"/>
          <w:sz w:val="22"/>
          <w:szCs w:val="22"/>
          <w:lang w:val="es-ES_tradnl"/>
        </w:rPr>
      </w:pPr>
      <w:r w:rsidRPr="0046030A">
        <w:rPr>
          <w:rFonts w:asciiTheme="majorHAnsi" w:hAnsiTheme="majorHAnsi"/>
          <w:noProof/>
          <w:sz w:val="22"/>
          <w:szCs w:val="22"/>
        </w:rPr>
        <mc:AlternateContent>
          <mc:Choice Requires="wps">
            <w:drawing>
              <wp:anchor distT="0" distB="0" distL="114300" distR="114300" simplePos="0" relativeHeight="251653120"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71508A6A" w:rsidR="00322450" w:rsidRPr="005C7F2D" w:rsidRDefault="00322450" w:rsidP="004B7EB6">
                            <w:pPr>
                              <w:spacing w:line="276" w:lineRule="auto"/>
                              <w:rPr>
                                <w:rFonts w:asciiTheme="majorHAnsi" w:hAnsiTheme="majorHAnsi" w:cs="Arial"/>
                                <w:b/>
                                <w:bCs/>
                                <w:color w:val="0D0D0D" w:themeColor="text1" w:themeTint="F2"/>
                                <w:sz w:val="36"/>
                                <w:szCs w:val="40"/>
                              </w:rPr>
                            </w:pPr>
                            <w:r w:rsidRPr="005C7F2D">
                              <w:rPr>
                                <w:rFonts w:asciiTheme="majorHAnsi" w:hAnsiTheme="majorHAnsi" w:cs="Arial"/>
                                <w:b/>
                                <w:bCs/>
                                <w:color w:val="0D0D0D" w:themeColor="text1" w:themeTint="F2"/>
                                <w:sz w:val="36"/>
                                <w:szCs w:val="40"/>
                              </w:rPr>
                              <w:t xml:space="preserve">REPORT No. </w:t>
                            </w:r>
                            <w:r w:rsidR="00117E4A">
                              <w:rPr>
                                <w:rFonts w:asciiTheme="majorHAnsi" w:hAnsiTheme="majorHAnsi" w:cs="Arial"/>
                                <w:b/>
                                <w:bCs/>
                                <w:color w:val="0D0D0D" w:themeColor="text1" w:themeTint="F2"/>
                                <w:sz w:val="36"/>
                                <w:szCs w:val="40"/>
                              </w:rPr>
                              <w:t>214</w:t>
                            </w:r>
                            <w:r w:rsidRPr="005C7F2D">
                              <w:rPr>
                                <w:rFonts w:asciiTheme="majorHAnsi" w:hAnsiTheme="majorHAnsi" w:cs="Arial"/>
                                <w:b/>
                                <w:bCs/>
                                <w:color w:val="0D0D0D" w:themeColor="text1" w:themeTint="F2"/>
                                <w:sz w:val="36"/>
                                <w:szCs w:val="40"/>
                              </w:rPr>
                              <w:t>/</w:t>
                            </w:r>
                            <w:r w:rsidR="00F538CE" w:rsidRPr="005C7F2D">
                              <w:rPr>
                                <w:rFonts w:asciiTheme="majorHAnsi" w:hAnsiTheme="majorHAnsi" w:cs="Arial"/>
                                <w:b/>
                                <w:bCs/>
                                <w:color w:val="0D0D0D" w:themeColor="text1" w:themeTint="F2"/>
                                <w:sz w:val="36"/>
                                <w:szCs w:val="40"/>
                              </w:rPr>
                              <w:t>23</w:t>
                            </w:r>
                          </w:p>
                          <w:p w14:paraId="2F09FD78" w14:textId="765E2B89" w:rsidR="00322450" w:rsidRPr="005C7F2D" w:rsidRDefault="00322450" w:rsidP="004B7EB6">
                            <w:pPr>
                              <w:spacing w:line="276" w:lineRule="auto"/>
                              <w:rPr>
                                <w:rFonts w:asciiTheme="majorHAnsi" w:hAnsiTheme="majorHAnsi" w:cs="Arial"/>
                                <w:b/>
                                <w:bCs/>
                                <w:color w:val="0D0D0D" w:themeColor="text1" w:themeTint="F2"/>
                                <w:sz w:val="36"/>
                                <w:szCs w:val="40"/>
                              </w:rPr>
                            </w:pPr>
                            <w:r w:rsidRPr="005C7F2D">
                              <w:rPr>
                                <w:rFonts w:asciiTheme="majorHAnsi" w:hAnsiTheme="majorHAnsi" w:cs="Arial"/>
                                <w:b/>
                                <w:bCs/>
                                <w:color w:val="0D0D0D" w:themeColor="text1" w:themeTint="F2"/>
                                <w:sz w:val="36"/>
                                <w:szCs w:val="40"/>
                              </w:rPr>
                              <w:t xml:space="preserve">CASE </w:t>
                            </w:r>
                            <w:r w:rsidR="00A82FDD" w:rsidRPr="005C7F2D">
                              <w:rPr>
                                <w:rFonts w:asciiTheme="majorHAnsi" w:hAnsiTheme="majorHAnsi" w:cs="Arial"/>
                                <w:b/>
                                <w:bCs/>
                                <w:color w:val="0D0D0D" w:themeColor="text1" w:themeTint="F2"/>
                                <w:sz w:val="36"/>
                                <w:szCs w:val="40"/>
                              </w:rPr>
                              <w:t>11.733</w:t>
                            </w:r>
                          </w:p>
                          <w:p w14:paraId="137925A6" w14:textId="5F4CB230" w:rsidR="00322450" w:rsidRPr="005C7F2D" w:rsidRDefault="00450A4A" w:rsidP="004B7EB6">
                            <w:pPr>
                              <w:spacing w:line="276" w:lineRule="auto"/>
                              <w:rPr>
                                <w:rFonts w:asciiTheme="majorHAnsi" w:hAnsiTheme="majorHAnsi" w:cs="Arial"/>
                                <w:color w:val="0D0D0D" w:themeColor="text1" w:themeTint="F2"/>
                                <w:szCs w:val="22"/>
                              </w:rPr>
                            </w:pPr>
                            <w:r w:rsidRPr="005C7F2D">
                              <w:rPr>
                                <w:rFonts w:asciiTheme="majorHAnsi" w:hAnsiTheme="majorHAnsi" w:cs="Arial"/>
                                <w:color w:val="0D0D0D" w:themeColor="text1" w:themeTint="F2"/>
                                <w:szCs w:val="22"/>
                              </w:rPr>
                              <w:t xml:space="preserve">REPORT ON </w:t>
                            </w:r>
                            <w:r w:rsidR="00322450" w:rsidRPr="005C7F2D">
                              <w:rPr>
                                <w:rFonts w:asciiTheme="majorHAnsi" w:hAnsiTheme="majorHAnsi" w:cs="Arial"/>
                                <w:color w:val="0D0D0D" w:themeColor="text1" w:themeTint="F2"/>
                                <w:szCs w:val="22"/>
                              </w:rPr>
                              <w:t>FRIENDLY SETTLEMENT</w:t>
                            </w:r>
                          </w:p>
                          <w:p w14:paraId="29A60CF3" w14:textId="77777777" w:rsidR="00450A4A" w:rsidRPr="005C7F2D" w:rsidRDefault="00450A4A" w:rsidP="004B7EB6">
                            <w:pPr>
                              <w:spacing w:line="276" w:lineRule="auto"/>
                              <w:rPr>
                                <w:rFonts w:asciiTheme="majorHAnsi" w:hAnsiTheme="majorHAnsi" w:cs="Arial"/>
                                <w:color w:val="0D0D0D" w:themeColor="text1" w:themeTint="F2"/>
                                <w:szCs w:val="22"/>
                              </w:rPr>
                            </w:pPr>
                          </w:p>
                          <w:p w14:paraId="1E22D352" w14:textId="70B5E633" w:rsidR="00F538CE" w:rsidRPr="005C7F2D" w:rsidRDefault="00F538CE" w:rsidP="00F538CE">
                            <w:pPr>
                              <w:rPr>
                                <w:rFonts w:asciiTheme="majorHAnsi" w:hAnsiTheme="majorHAnsi" w:cs="Arial"/>
                                <w:color w:val="0D0D0D" w:themeColor="text1" w:themeTint="F2"/>
                                <w:szCs w:val="22"/>
                              </w:rPr>
                            </w:pPr>
                            <w:r w:rsidRPr="005C7F2D">
                              <w:rPr>
                                <w:rFonts w:asciiTheme="majorHAnsi" w:hAnsiTheme="majorHAnsi" w:cs="Arial"/>
                                <w:color w:val="0D0D0D" w:themeColor="text1" w:themeTint="F2"/>
                                <w:szCs w:val="22"/>
                              </w:rPr>
                              <w:t>VICTOR PINEDA HENESTROSA</w:t>
                            </w:r>
                          </w:p>
                          <w:p w14:paraId="3911AEE8" w14:textId="707AAE3D" w:rsidR="00F538CE" w:rsidRPr="0010736F" w:rsidRDefault="00F538CE" w:rsidP="00F538CE">
                            <w:pPr>
                              <w:rPr>
                                <w:rFonts w:asciiTheme="majorHAnsi" w:hAnsiTheme="majorHAnsi" w:cs="Arial"/>
                                <w:color w:val="0D0D0D" w:themeColor="text1" w:themeTint="F2"/>
                                <w:szCs w:val="22"/>
                                <w:lang w:val="es-ES"/>
                              </w:rPr>
                            </w:pPr>
                            <w:r w:rsidRPr="005C7F2D">
                              <w:rPr>
                                <w:rFonts w:asciiTheme="majorHAnsi" w:hAnsiTheme="majorHAnsi" w:cs="Arial"/>
                                <w:color w:val="0D0D0D" w:themeColor="text1" w:themeTint="F2"/>
                                <w:szCs w:val="22"/>
                                <w:lang w:val="es-ES_tradnl"/>
                              </w:rPr>
                              <w:t>M</w:t>
                            </w:r>
                            <w:r w:rsidR="00B42A82" w:rsidRPr="005C7F2D">
                              <w:rPr>
                                <w:rFonts w:asciiTheme="majorHAnsi" w:hAnsiTheme="majorHAnsi" w:cs="Arial"/>
                                <w:color w:val="0D0D0D" w:themeColor="text1" w:themeTint="F2"/>
                                <w:szCs w:val="22"/>
                                <w:lang w:val="es-ES_tradnl"/>
                              </w:rPr>
                              <w:t>E</w:t>
                            </w:r>
                            <w:r w:rsidRPr="005C7F2D">
                              <w:rPr>
                                <w:rFonts w:asciiTheme="majorHAnsi" w:hAnsiTheme="majorHAnsi" w:cs="Arial"/>
                                <w:color w:val="0D0D0D" w:themeColor="text1" w:themeTint="F2"/>
                                <w:szCs w:val="22"/>
                                <w:lang w:val="es-ES_tradnl"/>
                              </w:rPr>
                              <w:t>XICO</w:t>
                            </w:r>
                          </w:p>
                          <w:p w14:paraId="07E90BFE" w14:textId="38BF4E12" w:rsidR="005B52B0" w:rsidRPr="00F538CE" w:rsidRDefault="005B52B0" w:rsidP="00F538CE">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71508A6A" w:rsidR="00322450" w:rsidRPr="005C7F2D" w:rsidRDefault="00322450" w:rsidP="004B7EB6">
                      <w:pPr>
                        <w:spacing w:line="276" w:lineRule="auto"/>
                        <w:rPr>
                          <w:rFonts w:asciiTheme="majorHAnsi" w:hAnsiTheme="majorHAnsi" w:cs="Arial"/>
                          <w:b/>
                          <w:bCs/>
                          <w:color w:val="0D0D0D" w:themeColor="text1" w:themeTint="F2"/>
                          <w:sz w:val="36"/>
                          <w:szCs w:val="40"/>
                        </w:rPr>
                      </w:pPr>
                      <w:r w:rsidRPr="005C7F2D">
                        <w:rPr>
                          <w:rFonts w:asciiTheme="majorHAnsi" w:hAnsiTheme="majorHAnsi" w:cs="Arial"/>
                          <w:b/>
                          <w:bCs/>
                          <w:color w:val="0D0D0D" w:themeColor="text1" w:themeTint="F2"/>
                          <w:sz w:val="36"/>
                          <w:szCs w:val="40"/>
                        </w:rPr>
                        <w:t xml:space="preserve">REPORT No. </w:t>
                      </w:r>
                      <w:r w:rsidR="00117E4A">
                        <w:rPr>
                          <w:rFonts w:asciiTheme="majorHAnsi" w:hAnsiTheme="majorHAnsi" w:cs="Arial"/>
                          <w:b/>
                          <w:bCs/>
                          <w:color w:val="0D0D0D" w:themeColor="text1" w:themeTint="F2"/>
                          <w:sz w:val="36"/>
                          <w:szCs w:val="40"/>
                        </w:rPr>
                        <w:t>214</w:t>
                      </w:r>
                      <w:r w:rsidRPr="005C7F2D">
                        <w:rPr>
                          <w:rFonts w:asciiTheme="majorHAnsi" w:hAnsiTheme="majorHAnsi" w:cs="Arial"/>
                          <w:b/>
                          <w:bCs/>
                          <w:color w:val="0D0D0D" w:themeColor="text1" w:themeTint="F2"/>
                          <w:sz w:val="36"/>
                          <w:szCs w:val="40"/>
                        </w:rPr>
                        <w:t>/</w:t>
                      </w:r>
                      <w:r w:rsidR="00F538CE" w:rsidRPr="005C7F2D">
                        <w:rPr>
                          <w:rFonts w:asciiTheme="majorHAnsi" w:hAnsiTheme="majorHAnsi" w:cs="Arial"/>
                          <w:b/>
                          <w:bCs/>
                          <w:color w:val="0D0D0D" w:themeColor="text1" w:themeTint="F2"/>
                          <w:sz w:val="36"/>
                          <w:szCs w:val="40"/>
                        </w:rPr>
                        <w:t>23</w:t>
                      </w:r>
                    </w:p>
                    <w:p w14:paraId="2F09FD78" w14:textId="765E2B89" w:rsidR="00322450" w:rsidRPr="005C7F2D" w:rsidRDefault="00322450" w:rsidP="004B7EB6">
                      <w:pPr>
                        <w:spacing w:line="276" w:lineRule="auto"/>
                        <w:rPr>
                          <w:rFonts w:asciiTheme="majorHAnsi" w:hAnsiTheme="majorHAnsi" w:cs="Arial"/>
                          <w:b/>
                          <w:bCs/>
                          <w:color w:val="0D0D0D" w:themeColor="text1" w:themeTint="F2"/>
                          <w:sz w:val="36"/>
                          <w:szCs w:val="40"/>
                        </w:rPr>
                      </w:pPr>
                      <w:r w:rsidRPr="005C7F2D">
                        <w:rPr>
                          <w:rFonts w:asciiTheme="majorHAnsi" w:hAnsiTheme="majorHAnsi" w:cs="Arial"/>
                          <w:b/>
                          <w:bCs/>
                          <w:color w:val="0D0D0D" w:themeColor="text1" w:themeTint="F2"/>
                          <w:sz w:val="36"/>
                          <w:szCs w:val="40"/>
                        </w:rPr>
                        <w:t xml:space="preserve">CASE </w:t>
                      </w:r>
                      <w:r w:rsidR="00A82FDD" w:rsidRPr="005C7F2D">
                        <w:rPr>
                          <w:rFonts w:asciiTheme="majorHAnsi" w:hAnsiTheme="majorHAnsi" w:cs="Arial"/>
                          <w:b/>
                          <w:bCs/>
                          <w:color w:val="0D0D0D" w:themeColor="text1" w:themeTint="F2"/>
                          <w:sz w:val="36"/>
                          <w:szCs w:val="40"/>
                        </w:rPr>
                        <w:t>11.733</w:t>
                      </w:r>
                    </w:p>
                    <w:p w14:paraId="137925A6" w14:textId="5F4CB230" w:rsidR="00322450" w:rsidRPr="005C7F2D" w:rsidRDefault="00450A4A" w:rsidP="004B7EB6">
                      <w:pPr>
                        <w:spacing w:line="276" w:lineRule="auto"/>
                        <w:rPr>
                          <w:rFonts w:asciiTheme="majorHAnsi" w:hAnsiTheme="majorHAnsi" w:cs="Arial"/>
                          <w:color w:val="0D0D0D" w:themeColor="text1" w:themeTint="F2"/>
                          <w:szCs w:val="22"/>
                        </w:rPr>
                      </w:pPr>
                      <w:r w:rsidRPr="005C7F2D">
                        <w:rPr>
                          <w:rFonts w:asciiTheme="majorHAnsi" w:hAnsiTheme="majorHAnsi" w:cs="Arial"/>
                          <w:color w:val="0D0D0D" w:themeColor="text1" w:themeTint="F2"/>
                          <w:szCs w:val="22"/>
                        </w:rPr>
                        <w:t xml:space="preserve">REPORT ON </w:t>
                      </w:r>
                      <w:r w:rsidR="00322450" w:rsidRPr="005C7F2D">
                        <w:rPr>
                          <w:rFonts w:asciiTheme="majorHAnsi" w:hAnsiTheme="majorHAnsi" w:cs="Arial"/>
                          <w:color w:val="0D0D0D" w:themeColor="text1" w:themeTint="F2"/>
                          <w:szCs w:val="22"/>
                        </w:rPr>
                        <w:t>FRIENDLY SETTLEMENT</w:t>
                      </w:r>
                    </w:p>
                    <w:p w14:paraId="29A60CF3" w14:textId="77777777" w:rsidR="00450A4A" w:rsidRPr="005C7F2D" w:rsidRDefault="00450A4A" w:rsidP="004B7EB6">
                      <w:pPr>
                        <w:spacing w:line="276" w:lineRule="auto"/>
                        <w:rPr>
                          <w:rFonts w:asciiTheme="majorHAnsi" w:hAnsiTheme="majorHAnsi" w:cs="Arial"/>
                          <w:color w:val="0D0D0D" w:themeColor="text1" w:themeTint="F2"/>
                          <w:szCs w:val="22"/>
                        </w:rPr>
                      </w:pPr>
                    </w:p>
                    <w:p w14:paraId="1E22D352" w14:textId="70B5E633" w:rsidR="00F538CE" w:rsidRPr="005C7F2D" w:rsidRDefault="00F538CE" w:rsidP="00F538CE">
                      <w:pPr>
                        <w:rPr>
                          <w:rFonts w:asciiTheme="majorHAnsi" w:hAnsiTheme="majorHAnsi" w:cs="Arial"/>
                          <w:color w:val="0D0D0D" w:themeColor="text1" w:themeTint="F2"/>
                          <w:szCs w:val="22"/>
                        </w:rPr>
                      </w:pPr>
                      <w:r w:rsidRPr="005C7F2D">
                        <w:rPr>
                          <w:rFonts w:asciiTheme="majorHAnsi" w:hAnsiTheme="majorHAnsi" w:cs="Arial"/>
                          <w:color w:val="0D0D0D" w:themeColor="text1" w:themeTint="F2"/>
                          <w:szCs w:val="22"/>
                        </w:rPr>
                        <w:t>VICTOR PINEDA HENESTROSA</w:t>
                      </w:r>
                    </w:p>
                    <w:p w14:paraId="3911AEE8" w14:textId="707AAE3D" w:rsidR="00F538CE" w:rsidRPr="0010736F" w:rsidRDefault="00F538CE" w:rsidP="00F538CE">
                      <w:pPr>
                        <w:rPr>
                          <w:rFonts w:asciiTheme="majorHAnsi" w:hAnsiTheme="majorHAnsi" w:cs="Arial"/>
                          <w:color w:val="0D0D0D" w:themeColor="text1" w:themeTint="F2"/>
                          <w:szCs w:val="22"/>
                          <w:lang w:val="es-ES"/>
                        </w:rPr>
                      </w:pPr>
                      <w:r w:rsidRPr="005C7F2D">
                        <w:rPr>
                          <w:rFonts w:asciiTheme="majorHAnsi" w:hAnsiTheme="majorHAnsi" w:cs="Arial"/>
                          <w:color w:val="0D0D0D" w:themeColor="text1" w:themeTint="F2"/>
                          <w:szCs w:val="22"/>
                          <w:lang w:val="es-ES_tradnl"/>
                        </w:rPr>
                        <w:t>M</w:t>
                      </w:r>
                      <w:r w:rsidR="00B42A82" w:rsidRPr="005C7F2D">
                        <w:rPr>
                          <w:rFonts w:asciiTheme="majorHAnsi" w:hAnsiTheme="majorHAnsi" w:cs="Arial"/>
                          <w:color w:val="0D0D0D" w:themeColor="text1" w:themeTint="F2"/>
                          <w:szCs w:val="22"/>
                          <w:lang w:val="es-ES_tradnl"/>
                        </w:rPr>
                        <w:t>E</w:t>
                      </w:r>
                      <w:r w:rsidRPr="005C7F2D">
                        <w:rPr>
                          <w:rFonts w:asciiTheme="majorHAnsi" w:hAnsiTheme="majorHAnsi" w:cs="Arial"/>
                          <w:color w:val="0D0D0D" w:themeColor="text1" w:themeTint="F2"/>
                          <w:szCs w:val="22"/>
                          <w:lang w:val="es-ES_tradnl"/>
                        </w:rPr>
                        <w:t>XICO</w:t>
                      </w:r>
                    </w:p>
                    <w:p w14:paraId="07E90BFE" w14:textId="38BF4E12" w:rsidR="005B52B0" w:rsidRPr="00F538CE" w:rsidRDefault="005B52B0" w:rsidP="00F538CE">
                      <w:pPr>
                        <w:spacing w:line="276" w:lineRule="auto"/>
                        <w:rPr>
                          <w:rFonts w:asciiTheme="majorHAnsi" w:hAnsiTheme="majorHAnsi"/>
                          <w:color w:val="0D0D0D" w:themeColor="text1" w:themeTint="F2"/>
                        </w:rPr>
                      </w:pPr>
                    </w:p>
                  </w:txbxContent>
                </v:textbox>
              </v:shape>
            </w:pict>
          </mc:Fallback>
        </mc:AlternateContent>
      </w:r>
      <w:r w:rsidR="004B7EB6" w:rsidRPr="0046030A">
        <w:rPr>
          <w:rFonts w:asciiTheme="majorHAnsi" w:hAnsiTheme="majorHAnsi"/>
          <w:noProof/>
          <w:sz w:val="22"/>
          <w:szCs w:val="22"/>
        </w:rPr>
        <mc:AlternateContent>
          <mc:Choice Requires="wps">
            <w:drawing>
              <wp:anchor distT="0" distB="0" distL="114300" distR="114300" simplePos="0" relativeHeight="251655168"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2AD1AF60"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611CC2">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330BBEF7" w14:textId="1C740E46" w:rsidR="00627C9F" w:rsidRPr="00935E06" w:rsidRDefault="00627C9F" w:rsidP="002C1641">
                            <w:pPr>
                              <w:jc w:val="right"/>
                              <w:rPr>
                                <w:rFonts w:asciiTheme="minorHAnsi" w:hAnsiTheme="minorHAnsi"/>
                                <w:color w:val="FFFFFF" w:themeColor="background1"/>
                                <w:sz w:val="22"/>
                                <w:lang w:val="pt-BR"/>
                              </w:rPr>
                            </w:pPr>
                            <w:r w:rsidRPr="00935E06">
                              <w:rPr>
                                <w:rFonts w:asciiTheme="minorHAnsi" w:hAnsiTheme="minorHAnsi"/>
                                <w:color w:val="FFFFFF" w:themeColor="background1"/>
                                <w:sz w:val="22"/>
                                <w:lang w:val="pt-BR"/>
                              </w:rPr>
                              <w:t xml:space="preserve">Doc. </w:t>
                            </w:r>
                            <w:r w:rsidR="00117E4A" w:rsidRPr="00935E06">
                              <w:rPr>
                                <w:rFonts w:asciiTheme="minorHAnsi" w:hAnsiTheme="minorHAnsi"/>
                                <w:color w:val="FFFFFF" w:themeColor="background1"/>
                                <w:sz w:val="22"/>
                                <w:lang w:val="pt-BR"/>
                              </w:rPr>
                              <w:t>233</w:t>
                            </w:r>
                          </w:p>
                          <w:p w14:paraId="64A9D0B0" w14:textId="096ED8D9" w:rsidR="00627C9F" w:rsidRPr="004B7EB6" w:rsidRDefault="00117E4A"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4B7EB6">
                              <w:rPr>
                                <w:rFonts w:asciiTheme="minorHAnsi" w:hAnsiTheme="minorHAnsi"/>
                                <w:color w:val="FFFFFF" w:themeColor="background1"/>
                                <w:sz w:val="22"/>
                              </w:rPr>
                              <w:t xml:space="preserve"> 20</w:t>
                            </w:r>
                            <w:r w:rsidR="00F538CE">
                              <w:rPr>
                                <w:rFonts w:asciiTheme="minorHAnsi" w:hAnsiTheme="minorHAnsi"/>
                                <w:color w:val="FFFFFF" w:themeColor="background1"/>
                                <w:sz w:val="22"/>
                              </w:rPr>
                              <w:t>23</w:t>
                            </w:r>
                          </w:p>
                          <w:p w14:paraId="61B7CA4D" w14:textId="65CA726E"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538C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2AD1AF60"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611CC2">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330BBEF7" w14:textId="1C740E46" w:rsidR="00627C9F" w:rsidRPr="00935E06" w:rsidRDefault="00627C9F" w:rsidP="002C1641">
                      <w:pPr>
                        <w:jc w:val="right"/>
                        <w:rPr>
                          <w:rFonts w:asciiTheme="minorHAnsi" w:hAnsiTheme="minorHAnsi"/>
                          <w:color w:val="FFFFFF" w:themeColor="background1"/>
                          <w:sz w:val="22"/>
                          <w:lang w:val="pt-BR"/>
                        </w:rPr>
                      </w:pPr>
                      <w:r w:rsidRPr="00935E06">
                        <w:rPr>
                          <w:rFonts w:asciiTheme="minorHAnsi" w:hAnsiTheme="minorHAnsi"/>
                          <w:color w:val="FFFFFF" w:themeColor="background1"/>
                          <w:sz w:val="22"/>
                          <w:lang w:val="pt-BR"/>
                        </w:rPr>
                        <w:t xml:space="preserve">Doc. </w:t>
                      </w:r>
                      <w:r w:rsidR="00117E4A" w:rsidRPr="00935E06">
                        <w:rPr>
                          <w:rFonts w:asciiTheme="minorHAnsi" w:hAnsiTheme="minorHAnsi"/>
                          <w:color w:val="FFFFFF" w:themeColor="background1"/>
                          <w:sz w:val="22"/>
                          <w:lang w:val="pt-BR"/>
                        </w:rPr>
                        <w:t>233</w:t>
                      </w:r>
                    </w:p>
                    <w:p w14:paraId="64A9D0B0" w14:textId="096ED8D9" w:rsidR="00627C9F" w:rsidRPr="004B7EB6" w:rsidRDefault="00117E4A" w:rsidP="002C1641">
                      <w:pPr>
                        <w:jc w:val="right"/>
                        <w:rPr>
                          <w:rFonts w:asciiTheme="minorHAnsi" w:hAnsiTheme="minorHAnsi"/>
                          <w:color w:val="FFFFFF" w:themeColor="background1"/>
                          <w:sz w:val="22"/>
                        </w:rPr>
                      </w:pPr>
                      <w:r>
                        <w:rPr>
                          <w:rFonts w:asciiTheme="minorHAnsi" w:hAnsiTheme="minorHAnsi"/>
                          <w:color w:val="FFFFFF" w:themeColor="background1"/>
                          <w:sz w:val="22"/>
                        </w:rPr>
                        <w:t>20 October</w:t>
                      </w:r>
                      <w:r w:rsidR="00627C9F" w:rsidRPr="004B7EB6">
                        <w:rPr>
                          <w:rFonts w:asciiTheme="minorHAnsi" w:hAnsiTheme="minorHAnsi"/>
                          <w:color w:val="FFFFFF" w:themeColor="background1"/>
                          <w:sz w:val="22"/>
                        </w:rPr>
                        <w:t xml:space="preserve"> 20</w:t>
                      </w:r>
                      <w:r w:rsidR="00F538CE">
                        <w:rPr>
                          <w:rFonts w:asciiTheme="minorHAnsi" w:hAnsiTheme="minorHAnsi"/>
                          <w:color w:val="FFFFFF" w:themeColor="background1"/>
                          <w:sz w:val="22"/>
                        </w:rPr>
                        <w:t>23</w:t>
                      </w:r>
                    </w:p>
                    <w:p w14:paraId="61B7CA4D" w14:textId="65CA726E"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538CE">
                        <w:rPr>
                          <w:rFonts w:asciiTheme="minorHAnsi" w:hAnsiTheme="minorHAnsi"/>
                          <w:color w:val="FFFFFF" w:themeColor="background1"/>
                          <w:sz w:val="22"/>
                        </w:rPr>
                        <w:t>Spanish</w:t>
                      </w:r>
                    </w:p>
                  </w:txbxContent>
                </v:textbox>
              </v:shape>
            </w:pict>
          </mc:Fallback>
        </mc:AlternateContent>
      </w:r>
    </w:p>
    <w:p w14:paraId="38659821" w14:textId="77777777" w:rsidR="00040C3A" w:rsidRPr="0046030A" w:rsidRDefault="00040C3A" w:rsidP="00040C3A">
      <w:pPr>
        <w:tabs>
          <w:tab w:val="center" w:pos="5400"/>
        </w:tabs>
        <w:suppressAutoHyphens/>
        <w:jc w:val="center"/>
        <w:rPr>
          <w:rFonts w:asciiTheme="majorHAnsi" w:hAnsiTheme="majorHAnsi"/>
          <w:sz w:val="22"/>
          <w:szCs w:val="22"/>
          <w:lang w:val="es-ES_tradnl"/>
        </w:rPr>
      </w:pPr>
    </w:p>
    <w:p w14:paraId="2C89FAEA" w14:textId="77777777" w:rsidR="00040C3A" w:rsidRPr="0046030A" w:rsidRDefault="00040C3A" w:rsidP="00040C3A">
      <w:pPr>
        <w:tabs>
          <w:tab w:val="center" w:pos="5400"/>
        </w:tabs>
        <w:suppressAutoHyphens/>
        <w:jc w:val="center"/>
        <w:rPr>
          <w:rFonts w:asciiTheme="majorHAnsi" w:hAnsiTheme="majorHAnsi" w:cs="Arial"/>
          <w:sz w:val="22"/>
          <w:szCs w:val="22"/>
          <w:lang w:val="es-ES_tradnl"/>
        </w:rPr>
      </w:pPr>
    </w:p>
    <w:p w14:paraId="446B9D14" w14:textId="77777777" w:rsidR="00040C3A" w:rsidRPr="0046030A" w:rsidRDefault="00040C3A" w:rsidP="00040C3A">
      <w:pPr>
        <w:tabs>
          <w:tab w:val="center" w:pos="5400"/>
        </w:tabs>
        <w:suppressAutoHyphens/>
        <w:jc w:val="center"/>
        <w:rPr>
          <w:rFonts w:asciiTheme="majorHAnsi" w:hAnsiTheme="majorHAnsi"/>
          <w:sz w:val="22"/>
          <w:szCs w:val="22"/>
          <w:lang w:val="es-ES_tradnl"/>
        </w:rPr>
      </w:pPr>
    </w:p>
    <w:p w14:paraId="6F75D956" w14:textId="77777777" w:rsidR="00040C3A" w:rsidRPr="0046030A" w:rsidRDefault="00040C3A" w:rsidP="00040C3A">
      <w:pPr>
        <w:tabs>
          <w:tab w:val="center" w:pos="5400"/>
        </w:tabs>
        <w:suppressAutoHyphens/>
        <w:jc w:val="center"/>
        <w:rPr>
          <w:rFonts w:asciiTheme="majorHAnsi" w:hAnsiTheme="majorHAnsi"/>
          <w:sz w:val="22"/>
          <w:szCs w:val="22"/>
          <w:lang w:val="es-ES_tradnl"/>
        </w:rPr>
      </w:pPr>
    </w:p>
    <w:p w14:paraId="171FA69D" w14:textId="77777777" w:rsidR="00040C3A" w:rsidRPr="0046030A" w:rsidRDefault="00040C3A" w:rsidP="00040C3A">
      <w:pPr>
        <w:tabs>
          <w:tab w:val="center" w:pos="5400"/>
        </w:tabs>
        <w:suppressAutoHyphens/>
        <w:jc w:val="center"/>
        <w:rPr>
          <w:rFonts w:asciiTheme="majorHAnsi" w:hAnsiTheme="majorHAnsi"/>
          <w:sz w:val="22"/>
          <w:szCs w:val="22"/>
          <w:lang w:val="es-ES_tradnl"/>
        </w:rPr>
      </w:pPr>
    </w:p>
    <w:p w14:paraId="34479DF1" w14:textId="77777777" w:rsidR="00040C3A" w:rsidRPr="0046030A" w:rsidRDefault="00040C3A" w:rsidP="00040C3A">
      <w:pPr>
        <w:tabs>
          <w:tab w:val="center" w:pos="5400"/>
        </w:tabs>
        <w:suppressAutoHyphens/>
        <w:jc w:val="center"/>
        <w:rPr>
          <w:rFonts w:asciiTheme="majorHAnsi" w:hAnsiTheme="majorHAnsi"/>
          <w:sz w:val="22"/>
          <w:szCs w:val="22"/>
          <w:lang w:val="es-ES_tradnl"/>
        </w:rPr>
      </w:pPr>
    </w:p>
    <w:p w14:paraId="3A82F646" w14:textId="77777777" w:rsidR="005128E4" w:rsidRPr="0046030A" w:rsidRDefault="005128E4" w:rsidP="00040C3A">
      <w:pPr>
        <w:tabs>
          <w:tab w:val="center" w:pos="5400"/>
        </w:tabs>
        <w:suppressAutoHyphens/>
        <w:jc w:val="center"/>
        <w:rPr>
          <w:rFonts w:asciiTheme="majorHAnsi" w:hAnsiTheme="majorHAnsi"/>
          <w:sz w:val="22"/>
          <w:szCs w:val="22"/>
          <w:lang w:val="es-ES_tradnl"/>
        </w:rPr>
      </w:pPr>
    </w:p>
    <w:p w14:paraId="4D2EBF75" w14:textId="77777777" w:rsidR="00040C3A" w:rsidRPr="0046030A" w:rsidRDefault="00040C3A" w:rsidP="00040C3A">
      <w:pPr>
        <w:tabs>
          <w:tab w:val="center" w:pos="5400"/>
        </w:tabs>
        <w:suppressAutoHyphens/>
        <w:jc w:val="center"/>
        <w:rPr>
          <w:rFonts w:asciiTheme="majorHAnsi" w:hAnsiTheme="majorHAnsi"/>
          <w:sz w:val="22"/>
          <w:szCs w:val="22"/>
          <w:lang w:val="es-ES_tradnl"/>
        </w:rPr>
      </w:pPr>
    </w:p>
    <w:p w14:paraId="1573D827" w14:textId="77777777" w:rsidR="005128E4" w:rsidRPr="0046030A" w:rsidRDefault="005128E4" w:rsidP="00040C3A">
      <w:pPr>
        <w:tabs>
          <w:tab w:val="center" w:pos="5400"/>
        </w:tabs>
        <w:suppressAutoHyphens/>
        <w:jc w:val="center"/>
        <w:rPr>
          <w:rFonts w:asciiTheme="majorHAnsi" w:hAnsiTheme="majorHAnsi"/>
          <w:sz w:val="22"/>
          <w:szCs w:val="22"/>
          <w:lang w:val="es-ES_tradnl"/>
        </w:rPr>
      </w:pPr>
    </w:p>
    <w:p w14:paraId="1838122F" w14:textId="77777777" w:rsidR="005128E4" w:rsidRPr="0046030A" w:rsidRDefault="005128E4" w:rsidP="00040C3A">
      <w:pPr>
        <w:tabs>
          <w:tab w:val="center" w:pos="5400"/>
        </w:tabs>
        <w:suppressAutoHyphens/>
        <w:jc w:val="center"/>
        <w:rPr>
          <w:rFonts w:asciiTheme="majorHAnsi" w:hAnsiTheme="majorHAnsi"/>
          <w:sz w:val="22"/>
          <w:szCs w:val="22"/>
          <w:lang w:val="es-ES_tradnl"/>
        </w:rPr>
      </w:pPr>
    </w:p>
    <w:p w14:paraId="3A1E4986" w14:textId="77777777" w:rsidR="005128E4" w:rsidRPr="0046030A" w:rsidRDefault="005128E4" w:rsidP="00040C3A">
      <w:pPr>
        <w:tabs>
          <w:tab w:val="center" w:pos="5400"/>
        </w:tabs>
        <w:suppressAutoHyphens/>
        <w:jc w:val="center"/>
        <w:rPr>
          <w:rFonts w:asciiTheme="majorHAnsi" w:hAnsiTheme="majorHAnsi"/>
          <w:sz w:val="22"/>
          <w:szCs w:val="22"/>
          <w:lang w:val="es-ES_tradnl"/>
        </w:rPr>
      </w:pPr>
    </w:p>
    <w:p w14:paraId="36F77937" w14:textId="77777777" w:rsidR="00040C3A" w:rsidRPr="0046030A" w:rsidRDefault="00040C3A" w:rsidP="00040C3A">
      <w:pPr>
        <w:tabs>
          <w:tab w:val="center" w:pos="5400"/>
        </w:tabs>
        <w:suppressAutoHyphens/>
        <w:jc w:val="center"/>
        <w:rPr>
          <w:rFonts w:asciiTheme="majorHAnsi" w:hAnsiTheme="majorHAnsi"/>
          <w:sz w:val="22"/>
          <w:szCs w:val="22"/>
          <w:lang w:val="es-ES_tradnl"/>
        </w:rPr>
      </w:pPr>
    </w:p>
    <w:p w14:paraId="4EF1FD29" w14:textId="77777777" w:rsidR="00040C3A" w:rsidRPr="0046030A" w:rsidRDefault="00040C3A" w:rsidP="00040C3A">
      <w:pPr>
        <w:tabs>
          <w:tab w:val="center" w:pos="5400"/>
        </w:tabs>
        <w:suppressAutoHyphens/>
        <w:jc w:val="center"/>
        <w:rPr>
          <w:rFonts w:asciiTheme="majorHAnsi" w:hAnsiTheme="majorHAnsi"/>
          <w:sz w:val="22"/>
          <w:szCs w:val="22"/>
          <w:lang w:val="es-ES_tradnl"/>
        </w:rPr>
      </w:pPr>
    </w:p>
    <w:p w14:paraId="3489E0FE"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2889349C"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32B41153"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41097006"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221B6BFA"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110A087A"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48F3DBB4"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4E4068BF"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17FF57DB"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39DA38B0"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03BD8066"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17F36EF9"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70F4F67C" w14:textId="77777777" w:rsidR="002C1641" w:rsidRPr="0046030A" w:rsidRDefault="003C32BC" w:rsidP="00040C3A">
      <w:pPr>
        <w:tabs>
          <w:tab w:val="center" w:pos="5400"/>
        </w:tabs>
        <w:suppressAutoHyphens/>
        <w:jc w:val="center"/>
        <w:rPr>
          <w:rFonts w:asciiTheme="majorHAnsi" w:hAnsiTheme="majorHAnsi"/>
          <w:sz w:val="18"/>
          <w:szCs w:val="22"/>
          <w:lang w:val="es-ES_tradnl"/>
        </w:rPr>
      </w:pPr>
      <w:r w:rsidRPr="0046030A">
        <w:rPr>
          <w:rFonts w:asciiTheme="majorHAnsi" w:hAnsiTheme="majorHAnsi"/>
          <w:noProof/>
          <w:sz w:val="22"/>
          <w:szCs w:val="22"/>
        </w:rPr>
        <mc:AlternateContent>
          <mc:Choice Requires="wps">
            <w:drawing>
              <wp:anchor distT="0" distB="0" distL="114300" distR="114300" simplePos="0" relativeHeight="251654144"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51EE26D3"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w:t>
                            </w:r>
                            <w:r w:rsidRPr="005C7F2D">
                              <w:rPr>
                                <w:rFonts w:asciiTheme="majorHAnsi" w:hAnsiTheme="majorHAnsi"/>
                                <w:color w:val="0D0D0D" w:themeColor="text1" w:themeTint="F2"/>
                                <w:sz w:val="18"/>
                                <w:szCs w:val="22"/>
                              </w:rPr>
                              <w:t>Commission</w:t>
                            </w:r>
                            <w:r w:rsidR="003F1BBF" w:rsidRPr="005C7F2D">
                              <w:rPr>
                                <w:rFonts w:asciiTheme="majorHAnsi" w:hAnsiTheme="majorHAnsi"/>
                                <w:color w:val="0D0D0D" w:themeColor="text1" w:themeTint="F2"/>
                                <w:sz w:val="18"/>
                                <w:szCs w:val="22"/>
                              </w:rPr>
                              <w:t xml:space="preserve"> </w:t>
                            </w:r>
                            <w:r w:rsidRPr="005C7F2D">
                              <w:rPr>
                                <w:rFonts w:asciiTheme="majorHAnsi" w:hAnsiTheme="majorHAnsi"/>
                                <w:color w:val="0D0D0D" w:themeColor="text1" w:themeTint="F2"/>
                                <w:sz w:val="18"/>
                                <w:szCs w:val="22"/>
                              </w:rPr>
                              <w:t xml:space="preserve">on </w:t>
                            </w:r>
                            <w:r w:rsidR="00DD57D6">
                              <w:rPr>
                                <w:rFonts w:asciiTheme="majorHAnsi" w:hAnsiTheme="majorHAnsi"/>
                                <w:color w:val="0D0D0D" w:themeColor="text1" w:themeTint="F2"/>
                                <w:sz w:val="18"/>
                                <w:szCs w:val="22"/>
                              </w:rPr>
                              <w:t>October 20</w:t>
                            </w:r>
                            <w:r w:rsidRPr="005C7F2D">
                              <w:rPr>
                                <w:rFonts w:asciiTheme="majorHAnsi" w:hAnsiTheme="majorHAnsi"/>
                                <w:color w:val="0D0D0D" w:themeColor="text1" w:themeTint="F2"/>
                                <w:sz w:val="18"/>
                                <w:szCs w:val="22"/>
                              </w:rPr>
                              <w:t>, 20</w:t>
                            </w:r>
                            <w:r w:rsidR="00F538CE" w:rsidRPr="005C7F2D">
                              <w:rPr>
                                <w:rFonts w:asciiTheme="majorHAnsi" w:hAnsiTheme="majorHAnsi"/>
                                <w:color w:val="0D0D0D" w:themeColor="text1" w:themeTint="F2"/>
                                <w:sz w:val="18"/>
                                <w:szCs w:val="22"/>
                              </w:rPr>
                              <w:t>23</w:t>
                            </w:r>
                            <w:r w:rsidR="00117E4A">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51EE26D3"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w:t>
                      </w:r>
                      <w:r w:rsidRPr="005C7F2D">
                        <w:rPr>
                          <w:rFonts w:asciiTheme="majorHAnsi" w:hAnsiTheme="majorHAnsi"/>
                          <w:color w:val="0D0D0D" w:themeColor="text1" w:themeTint="F2"/>
                          <w:sz w:val="18"/>
                          <w:szCs w:val="22"/>
                        </w:rPr>
                        <w:t>Commission</w:t>
                      </w:r>
                      <w:r w:rsidR="003F1BBF" w:rsidRPr="005C7F2D">
                        <w:rPr>
                          <w:rFonts w:asciiTheme="majorHAnsi" w:hAnsiTheme="majorHAnsi"/>
                          <w:color w:val="0D0D0D" w:themeColor="text1" w:themeTint="F2"/>
                          <w:sz w:val="18"/>
                          <w:szCs w:val="22"/>
                        </w:rPr>
                        <w:t xml:space="preserve"> </w:t>
                      </w:r>
                      <w:r w:rsidRPr="005C7F2D">
                        <w:rPr>
                          <w:rFonts w:asciiTheme="majorHAnsi" w:hAnsiTheme="majorHAnsi"/>
                          <w:color w:val="0D0D0D" w:themeColor="text1" w:themeTint="F2"/>
                          <w:sz w:val="18"/>
                          <w:szCs w:val="22"/>
                        </w:rPr>
                        <w:t xml:space="preserve">on </w:t>
                      </w:r>
                      <w:r w:rsidR="00DD57D6">
                        <w:rPr>
                          <w:rFonts w:asciiTheme="majorHAnsi" w:hAnsiTheme="majorHAnsi"/>
                          <w:color w:val="0D0D0D" w:themeColor="text1" w:themeTint="F2"/>
                          <w:sz w:val="18"/>
                          <w:szCs w:val="22"/>
                        </w:rPr>
                        <w:t>October 20</w:t>
                      </w:r>
                      <w:r w:rsidRPr="005C7F2D">
                        <w:rPr>
                          <w:rFonts w:asciiTheme="majorHAnsi" w:hAnsiTheme="majorHAnsi"/>
                          <w:color w:val="0D0D0D" w:themeColor="text1" w:themeTint="F2"/>
                          <w:sz w:val="18"/>
                          <w:szCs w:val="22"/>
                        </w:rPr>
                        <w:t>, 20</w:t>
                      </w:r>
                      <w:r w:rsidR="00F538CE" w:rsidRPr="005C7F2D">
                        <w:rPr>
                          <w:rFonts w:asciiTheme="majorHAnsi" w:hAnsiTheme="majorHAnsi"/>
                          <w:color w:val="0D0D0D" w:themeColor="text1" w:themeTint="F2"/>
                          <w:sz w:val="18"/>
                          <w:szCs w:val="22"/>
                        </w:rPr>
                        <w:t>23</w:t>
                      </w:r>
                      <w:r w:rsidR="00117E4A">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365C358E"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0A7F6BF2"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555CDC4F"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667CA1C8" w14:textId="77777777" w:rsidR="002C1641" w:rsidRPr="0046030A" w:rsidRDefault="003C32BC" w:rsidP="00040C3A">
      <w:pPr>
        <w:tabs>
          <w:tab w:val="center" w:pos="5400"/>
        </w:tabs>
        <w:suppressAutoHyphens/>
        <w:jc w:val="center"/>
        <w:rPr>
          <w:rFonts w:asciiTheme="majorHAnsi" w:hAnsiTheme="majorHAnsi"/>
          <w:sz w:val="18"/>
          <w:szCs w:val="22"/>
          <w:lang w:val="es-ES_tradnl"/>
        </w:rPr>
      </w:pPr>
      <w:r w:rsidRPr="0046030A">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343E4ACE" wp14:editId="69079FF5">
                <wp:simplePos x="0" y="0"/>
                <wp:positionH relativeFrom="column">
                  <wp:posOffset>1208314</wp:posOffset>
                </wp:positionH>
                <wp:positionV relativeFrom="paragraph">
                  <wp:posOffset>92256</wp:posOffset>
                </wp:positionV>
                <wp:extent cx="4925786"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925786"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2646931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D57D6">
                              <w:rPr>
                                <w:rFonts w:asciiTheme="majorHAnsi" w:hAnsiTheme="majorHAnsi"/>
                                <w:color w:val="595959" w:themeColor="text1" w:themeTint="A6"/>
                                <w:sz w:val="18"/>
                              </w:rPr>
                              <w:t>214</w:t>
                            </w:r>
                            <w:r w:rsidRPr="005C7F2D">
                              <w:rPr>
                                <w:rFonts w:asciiTheme="majorHAnsi" w:hAnsiTheme="majorHAnsi"/>
                                <w:color w:val="595959" w:themeColor="text1" w:themeTint="A6"/>
                                <w:sz w:val="18"/>
                              </w:rPr>
                              <w:t>/</w:t>
                            </w:r>
                            <w:r w:rsidR="00A82FDD" w:rsidRPr="005C7F2D">
                              <w:rPr>
                                <w:rFonts w:asciiTheme="majorHAnsi" w:hAnsiTheme="majorHAnsi"/>
                                <w:color w:val="595959" w:themeColor="text1" w:themeTint="A6"/>
                                <w:sz w:val="18"/>
                              </w:rPr>
                              <w:t>23</w:t>
                            </w:r>
                            <w:r w:rsidRPr="005C7F2D">
                              <w:rPr>
                                <w:rFonts w:asciiTheme="majorHAnsi" w:hAnsiTheme="majorHAnsi"/>
                                <w:color w:val="595959" w:themeColor="text1" w:themeTint="A6"/>
                                <w:sz w:val="18"/>
                              </w:rPr>
                              <w:t xml:space="preserve">, Case </w:t>
                            </w:r>
                            <w:r w:rsidR="00A82FDD" w:rsidRPr="005C7F2D">
                              <w:rPr>
                                <w:rFonts w:asciiTheme="majorHAnsi" w:hAnsiTheme="majorHAnsi"/>
                                <w:color w:val="595959" w:themeColor="text1" w:themeTint="A6"/>
                                <w:sz w:val="18"/>
                              </w:rPr>
                              <w:t>11.733</w:t>
                            </w:r>
                            <w:r w:rsidRPr="005C7F2D">
                              <w:rPr>
                                <w:rFonts w:asciiTheme="majorHAnsi" w:hAnsiTheme="majorHAnsi"/>
                                <w:color w:val="595959" w:themeColor="text1" w:themeTint="A6"/>
                                <w:sz w:val="18"/>
                              </w:rPr>
                              <w:t xml:space="preserve">. </w:t>
                            </w:r>
                            <w:r w:rsidRPr="00B672D5">
                              <w:rPr>
                                <w:rFonts w:asciiTheme="majorHAnsi" w:hAnsiTheme="majorHAnsi"/>
                                <w:color w:val="595959" w:themeColor="text1" w:themeTint="A6"/>
                                <w:sz w:val="18"/>
                                <w:lang w:val="es-ES"/>
                              </w:rPr>
                              <w:t xml:space="preserve">Friendly Settlement. </w:t>
                            </w:r>
                            <w:r w:rsidR="00B42A82" w:rsidRPr="00B672D5">
                              <w:rPr>
                                <w:rFonts w:asciiTheme="majorHAnsi" w:hAnsiTheme="majorHAnsi"/>
                                <w:color w:val="595959" w:themeColor="text1" w:themeTint="A6"/>
                                <w:sz w:val="18"/>
                                <w:lang w:val="es-ES"/>
                              </w:rPr>
                              <w:t xml:space="preserve">Víctor Pineda </w:t>
                            </w:r>
                            <w:r w:rsidR="0005137C" w:rsidRPr="00B672D5">
                              <w:rPr>
                                <w:rFonts w:asciiTheme="majorHAnsi" w:hAnsiTheme="majorHAnsi"/>
                                <w:color w:val="595959" w:themeColor="text1" w:themeTint="A6"/>
                                <w:sz w:val="18"/>
                                <w:lang w:val="es-ES"/>
                              </w:rPr>
                              <w:t>He</w:t>
                            </w:r>
                            <w:r w:rsidR="00B42A82" w:rsidRPr="00B672D5">
                              <w:rPr>
                                <w:rFonts w:asciiTheme="majorHAnsi" w:hAnsiTheme="majorHAnsi"/>
                                <w:color w:val="595959" w:themeColor="text1" w:themeTint="A6"/>
                                <w:sz w:val="18"/>
                                <w:lang w:val="es-ES"/>
                              </w:rPr>
                              <w:t>nestrosa</w:t>
                            </w:r>
                            <w:r w:rsidRPr="00B672D5">
                              <w:rPr>
                                <w:rFonts w:asciiTheme="majorHAnsi" w:hAnsiTheme="majorHAnsi"/>
                                <w:color w:val="595959" w:themeColor="text1" w:themeTint="A6"/>
                                <w:sz w:val="18"/>
                                <w:lang w:val="es-ES"/>
                              </w:rPr>
                              <w:t xml:space="preserve">. </w:t>
                            </w:r>
                            <w:r w:rsidR="00B42A82" w:rsidRPr="005C7F2D">
                              <w:rPr>
                                <w:rFonts w:asciiTheme="majorHAnsi" w:hAnsiTheme="majorHAnsi"/>
                                <w:color w:val="595959" w:themeColor="text1" w:themeTint="A6"/>
                                <w:sz w:val="18"/>
                                <w:lang w:val="es-US"/>
                              </w:rPr>
                              <w:t>Mexico</w:t>
                            </w:r>
                            <w:r w:rsidRPr="005C7F2D">
                              <w:rPr>
                                <w:rFonts w:asciiTheme="majorHAnsi" w:hAnsiTheme="majorHAnsi"/>
                                <w:color w:val="595959" w:themeColor="text1" w:themeTint="A6"/>
                                <w:sz w:val="18"/>
                                <w:lang w:val="es-US"/>
                              </w:rPr>
                              <w:t xml:space="preserve">. </w:t>
                            </w:r>
                            <w:r w:rsidR="006B2126">
                              <w:rPr>
                                <w:rFonts w:asciiTheme="majorHAnsi" w:hAnsiTheme="majorHAnsi"/>
                                <w:color w:val="595959" w:themeColor="text1" w:themeTint="A6"/>
                                <w:sz w:val="18"/>
                              </w:rPr>
                              <w:t>October 20</w:t>
                            </w:r>
                            <w:r w:rsidR="00A82FDD" w:rsidRPr="005C7F2D">
                              <w:rPr>
                                <w:rFonts w:asciiTheme="majorHAnsi" w:hAnsiTheme="majorHAnsi"/>
                                <w:color w:val="595959" w:themeColor="text1" w:themeTint="A6"/>
                                <w:sz w:val="18"/>
                              </w:rPr>
                              <w:t>, 2023</w:t>
                            </w:r>
                            <w:r w:rsidRPr="005C7F2D">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15pt;margin-top:7.25pt;width:387.8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" filled="f" stroked="f" strokeweight=".5pt">
                <v:textbox>
                  <w:txbxContent>
                    <w:p w14:paraId="73BDBA94" w14:textId="2646931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D57D6">
                        <w:rPr>
                          <w:rFonts w:asciiTheme="majorHAnsi" w:hAnsiTheme="majorHAnsi"/>
                          <w:color w:val="595959" w:themeColor="text1" w:themeTint="A6"/>
                          <w:sz w:val="18"/>
                        </w:rPr>
                        <w:t>214</w:t>
                      </w:r>
                      <w:r w:rsidRPr="005C7F2D">
                        <w:rPr>
                          <w:rFonts w:asciiTheme="majorHAnsi" w:hAnsiTheme="majorHAnsi"/>
                          <w:color w:val="595959" w:themeColor="text1" w:themeTint="A6"/>
                          <w:sz w:val="18"/>
                        </w:rPr>
                        <w:t>/</w:t>
                      </w:r>
                      <w:r w:rsidR="00A82FDD" w:rsidRPr="005C7F2D">
                        <w:rPr>
                          <w:rFonts w:asciiTheme="majorHAnsi" w:hAnsiTheme="majorHAnsi"/>
                          <w:color w:val="595959" w:themeColor="text1" w:themeTint="A6"/>
                          <w:sz w:val="18"/>
                        </w:rPr>
                        <w:t>23</w:t>
                      </w:r>
                      <w:r w:rsidRPr="005C7F2D">
                        <w:rPr>
                          <w:rFonts w:asciiTheme="majorHAnsi" w:hAnsiTheme="majorHAnsi"/>
                          <w:color w:val="595959" w:themeColor="text1" w:themeTint="A6"/>
                          <w:sz w:val="18"/>
                        </w:rPr>
                        <w:t xml:space="preserve">, Case </w:t>
                      </w:r>
                      <w:r w:rsidR="00A82FDD" w:rsidRPr="005C7F2D">
                        <w:rPr>
                          <w:rFonts w:asciiTheme="majorHAnsi" w:hAnsiTheme="majorHAnsi"/>
                          <w:color w:val="595959" w:themeColor="text1" w:themeTint="A6"/>
                          <w:sz w:val="18"/>
                        </w:rPr>
                        <w:t>11.733</w:t>
                      </w:r>
                      <w:r w:rsidRPr="005C7F2D">
                        <w:rPr>
                          <w:rFonts w:asciiTheme="majorHAnsi" w:hAnsiTheme="majorHAnsi"/>
                          <w:color w:val="595959" w:themeColor="text1" w:themeTint="A6"/>
                          <w:sz w:val="18"/>
                        </w:rPr>
                        <w:t xml:space="preserve">. </w:t>
                      </w:r>
                      <w:r w:rsidRPr="00B672D5">
                        <w:rPr>
                          <w:rFonts w:asciiTheme="majorHAnsi" w:hAnsiTheme="majorHAnsi"/>
                          <w:color w:val="595959" w:themeColor="text1" w:themeTint="A6"/>
                          <w:sz w:val="18"/>
                          <w:lang w:val="es-ES"/>
                        </w:rPr>
                        <w:t xml:space="preserve">Friendly Settlement. </w:t>
                      </w:r>
                      <w:r w:rsidR="00B42A82" w:rsidRPr="00B672D5">
                        <w:rPr>
                          <w:rFonts w:asciiTheme="majorHAnsi" w:hAnsiTheme="majorHAnsi"/>
                          <w:color w:val="595959" w:themeColor="text1" w:themeTint="A6"/>
                          <w:sz w:val="18"/>
                          <w:lang w:val="es-ES"/>
                        </w:rPr>
                        <w:t xml:space="preserve">Víctor Pineda </w:t>
                      </w:r>
                      <w:r w:rsidR="0005137C" w:rsidRPr="00B672D5">
                        <w:rPr>
                          <w:rFonts w:asciiTheme="majorHAnsi" w:hAnsiTheme="majorHAnsi"/>
                          <w:color w:val="595959" w:themeColor="text1" w:themeTint="A6"/>
                          <w:sz w:val="18"/>
                          <w:lang w:val="es-ES"/>
                        </w:rPr>
                        <w:t>He</w:t>
                      </w:r>
                      <w:r w:rsidR="00B42A82" w:rsidRPr="00B672D5">
                        <w:rPr>
                          <w:rFonts w:asciiTheme="majorHAnsi" w:hAnsiTheme="majorHAnsi"/>
                          <w:color w:val="595959" w:themeColor="text1" w:themeTint="A6"/>
                          <w:sz w:val="18"/>
                          <w:lang w:val="es-ES"/>
                        </w:rPr>
                        <w:t>nestrosa</w:t>
                      </w:r>
                      <w:r w:rsidRPr="00B672D5">
                        <w:rPr>
                          <w:rFonts w:asciiTheme="majorHAnsi" w:hAnsiTheme="majorHAnsi"/>
                          <w:color w:val="595959" w:themeColor="text1" w:themeTint="A6"/>
                          <w:sz w:val="18"/>
                          <w:lang w:val="es-ES"/>
                        </w:rPr>
                        <w:t xml:space="preserve">. </w:t>
                      </w:r>
                      <w:r w:rsidR="00B42A82" w:rsidRPr="005C7F2D">
                        <w:rPr>
                          <w:rFonts w:asciiTheme="majorHAnsi" w:hAnsiTheme="majorHAnsi"/>
                          <w:color w:val="595959" w:themeColor="text1" w:themeTint="A6"/>
                          <w:sz w:val="18"/>
                          <w:lang w:val="es-US"/>
                        </w:rPr>
                        <w:t>Mexico</w:t>
                      </w:r>
                      <w:r w:rsidRPr="005C7F2D">
                        <w:rPr>
                          <w:rFonts w:asciiTheme="majorHAnsi" w:hAnsiTheme="majorHAnsi"/>
                          <w:color w:val="595959" w:themeColor="text1" w:themeTint="A6"/>
                          <w:sz w:val="18"/>
                          <w:lang w:val="es-US"/>
                        </w:rPr>
                        <w:t xml:space="preserve">. </w:t>
                      </w:r>
                      <w:r w:rsidR="006B2126">
                        <w:rPr>
                          <w:rFonts w:asciiTheme="majorHAnsi" w:hAnsiTheme="majorHAnsi"/>
                          <w:color w:val="595959" w:themeColor="text1" w:themeTint="A6"/>
                          <w:sz w:val="18"/>
                        </w:rPr>
                        <w:t>October 20</w:t>
                      </w:r>
                      <w:r w:rsidR="00A82FDD" w:rsidRPr="005C7F2D">
                        <w:rPr>
                          <w:rFonts w:asciiTheme="majorHAnsi" w:hAnsiTheme="majorHAnsi"/>
                          <w:color w:val="595959" w:themeColor="text1" w:themeTint="A6"/>
                          <w:sz w:val="18"/>
                        </w:rPr>
                        <w:t>, 2023</w:t>
                      </w:r>
                      <w:r w:rsidRPr="005C7F2D">
                        <w:rPr>
                          <w:rFonts w:asciiTheme="majorHAnsi" w:hAnsiTheme="majorHAnsi"/>
                          <w:color w:val="595959" w:themeColor="text1" w:themeTint="A6"/>
                          <w:sz w:val="18"/>
                        </w:rPr>
                        <w:t>.</w:t>
                      </w:r>
                    </w:p>
                  </w:txbxContent>
                </v:textbox>
              </v:shape>
            </w:pict>
          </mc:Fallback>
        </mc:AlternateContent>
      </w:r>
    </w:p>
    <w:p w14:paraId="565762C0"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71744B92" w14:textId="77777777" w:rsidR="002C1641" w:rsidRPr="0046030A" w:rsidRDefault="002C1641" w:rsidP="00040C3A">
      <w:pPr>
        <w:tabs>
          <w:tab w:val="center" w:pos="5400"/>
        </w:tabs>
        <w:suppressAutoHyphens/>
        <w:jc w:val="center"/>
        <w:rPr>
          <w:rFonts w:asciiTheme="majorHAnsi" w:hAnsiTheme="majorHAnsi"/>
          <w:sz w:val="18"/>
          <w:szCs w:val="22"/>
          <w:lang w:val="es-ES_tradnl"/>
        </w:rPr>
      </w:pPr>
    </w:p>
    <w:p w14:paraId="1584087E" w14:textId="77777777" w:rsidR="003C32BC" w:rsidRPr="0046030A" w:rsidRDefault="003C32BC" w:rsidP="003C32BC">
      <w:pPr>
        <w:tabs>
          <w:tab w:val="center" w:pos="5400"/>
        </w:tabs>
        <w:suppressAutoHyphens/>
        <w:jc w:val="center"/>
        <w:rPr>
          <w:rFonts w:asciiTheme="majorHAnsi" w:hAnsiTheme="majorHAnsi"/>
          <w:sz w:val="18"/>
          <w:szCs w:val="22"/>
        </w:rPr>
      </w:pPr>
    </w:p>
    <w:p w14:paraId="05468558" w14:textId="743A2A98" w:rsidR="003C32BC" w:rsidRPr="0046030A" w:rsidRDefault="006B2126" w:rsidP="003C32BC">
      <w:pPr>
        <w:tabs>
          <w:tab w:val="center" w:pos="5400"/>
        </w:tabs>
        <w:suppressAutoHyphens/>
        <w:jc w:val="center"/>
        <w:rPr>
          <w:rFonts w:asciiTheme="majorHAnsi" w:hAnsiTheme="majorHAnsi"/>
          <w:sz w:val="18"/>
          <w:szCs w:val="22"/>
        </w:rPr>
      </w:pPr>
      <w:r w:rsidRPr="0046030A">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D760FCD" wp14:editId="4FBF0E62">
                <wp:simplePos x="0" y="0"/>
                <wp:positionH relativeFrom="column">
                  <wp:posOffset>1208314</wp:posOffset>
                </wp:positionH>
                <wp:positionV relativeFrom="paragraph">
                  <wp:posOffset>721088</wp:posOffset>
                </wp:positionV>
                <wp:extent cx="2085975" cy="549728"/>
                <wp:effectExtent l="0" t="0" r="9525" b="3175"/>
                <wp:wrapNone/>
                <wp:docPr id="2" name="Text Box 2"/>
                <wp:cNvGraphicFramePr/>
                <a:graphic xmlns:a="http://schemas.openxmlformats.org/drawingml/2006/main">
                  <a:graphicData uri="http://schemas.microsoft.com/office/word/2010/wordprocessingShape">
                    <wps:wsp>
                      <wps:cNvSpPr txBox="1"/>
                      <wps:spPr>
                        <a:xfrm>
                          <a:off x="0" y="0"/>
                          <a:ext cx="2085975" cy="5497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1" type="#_x0000_t202" style="position:absolute;left:0;text-align:left;margin-left:95.15pt;margin-top:56.8pt;width:164.25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Cdeg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" fillcolor="white [3201]" stroked="f" strokeweight=".5pt">
                <v:textbox>
                  <w:txbxContent>
                    <w:p w14:paraId="4F799A2C" w14:textId="77777777" w:rsidR="003C32BC" w:rsidRDefault="003815A8">
                      <w:r>
                        <w:rPr>
                          <w:noProof/>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6311DA" w:rsidRPr="0046030A">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2BB814FE" wp14:editId="0568D04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12414FAF"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C7F2D">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2" type="#_x0000_t202" style="position:absolute;left:0;text-align:left;margin-left:-23.55pt;margin-top:67.65pt;width:93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6535DE31" w14:textId="12414FAF"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C7F2D">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7D7643F4" w14:textId="77777777" w:rsidR="007607C4" w:rsidRPr="0046030A" w:rsidRDefault="007607C4" w:rsidP="003C32BC">
      <w:pPr>
        <w:tabs>
          <w:tab w:val="center" w:pos="5400"/>
        </w:tabs>
        <w:suppressAutoHyphens/>
        <w:jc w:val="center"/>
        <w:rPr>
          <w:rFonts w:asciiTheme="majorHAnsi" w:hAnsiTheme="majorHAnsi"/>
          <w:sz w:val="18"/>
          <w:szCs w:val="22"/>
        </w:rPr>
        <w:sectPr w:rsidR="007607C4" w:rsidRPr="0046030A"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D19D051" w14:textId="67C00594" w:rsidR="006311DA" w:rsidRPr="0046030A" w:rsidRDefault="006311DA" w:rsidP="00CC1279">
      <w:pPr>
        <w:tabs>
          <w:tab w:val="center" w:pos="5400"/>
        </w:tabs>
        <w:suppressAutoHyphens/>
        <w:jc w:val="center"/>
        <w:rPr>
          <w:rFonts w:asciiTheme="majorHAnsi" w:hAnsiTheme="majorHAnsi"/>
          <w:b/>
          <w:sz w:val="18"/>
          <w:szCs w:val="20"/>
        </w:rPr>
      </w:pPr>
      <w:r w:rsidRPr="0046030A">
        <w:rPr>
          <w:rFonts w:asciiTheme="majorHAnsi" w:hAnsiTheme="majorHAnsi"/>
          <w:b/>
          <w:sz w:val="18"/>
          <w:szCs w:val="20"/>
        </w:rPr>
        <w:lastRenderedPageBreak/>
        <w:t xml:space="preserve">REPORT No. </w:t>
      </w:r>
      <w:r w:rsidR="006B2126" w:rsidRPr="0046030A">
        <w:rPr>
          <w:rFonts w:asciiTheme="majorHAnsi" w:hAnsiTheme="majorHAnsi"/>
          <w:b/>
          <w:sz w:val="18"/>
          <w:szCs w:val="20"/>
        </w:rPr>
        <w:t>214</w:t>
      </w:r>
      <w:r w:rsidRPr="0046030A">
        <w:rPr>
          <w:rFonts w:asciiTheme="majorHAnsi" w:hAnsiTheme="majorHAnsi"/>
          <w:b/>
          <w:sz w:val="18"/>
          <w:szCs w:val="20"/>
        </w:rPr>
        <w:t>/</w:t>
      </w:r>
      <w:r w:rsidR="00F538CE" w:rsidRPr="0046030A">
        <w:rPr>
          <w:rFonts w:asciiTheme="majorHAnsi" w:hAnsiTheme="majorHAnsi"/>
          <w:b/>
          <w:sz w:val="18"/>
          <w:szCs w:val="20"/>
        </w:rPr>
        <w:t>23</w:t>
      </w:r>
    </w:p>
    <w:p w14:paraId="225983D3" w14:textId="3B1AD93F" w:rsidR="006311DA" w:rsidRPr="0046030A" w:rsidRDefault="006311DA" w:rsidP="00CC1279">
      <w:pPr>
        <w:tabs>
          <w:tab w:val="center" w:pos="5400"/>
        </w:tabs>
        <w:suppressAutoHyphens/>
        <w:jc w:val="center"/>
        <w:rPr>
          <w:rFonts w:asciiTheme="majorHAnsi" w:hAnsiTheme="majorHAnsi"/>
          <w:b/>
          <w:sz w:val="18"/>
          <w:szCs w:val="20"/>
        </w:rPr>
      </w:pPr>
      <w:r w:rsidRPr="0046030A">
        <w:rPr>
          <w:rFonts w:asciiTheme="majorHAnsi" w:hAnsiTheme="majorHAnsi"/>
          <w:b/>
          <w:sz w:val="18"/>
          <w:szCs w:val="20"/>
        </w:rPr>
        <w:t xml:space="preserve">CASE </w:t>
      </w:r>
      <w:r w:rsidR="00F538CE" w:rsidRPr="0046030A">
        <w:rPr>
          <w:rFonts w:asciiTheme="majorHAnsi" w:hAnsiTheme="majorHAnsi"/>
          <w:b/>
          <w:sz w:val="18"/>
          <w:szCs w:val="20"/>
        </w:rPr>
        <w:t>11.733</w:t>
      </w:r>
    </w:p>
    <w:p w14:paraId="77C6A460" w14:textId="100D0F9F" w:rsidR="006311DA" w:rsidRPr="0046030A" w:rsidRDefault="006311DA" w:rsidP="00CC1279">
      <w:pPr>
        <w:tabs>
          <w:tab w:val="center" w:pos="5400"/>
        </w:tabs>
        <w:suppressAutoHyphens/>
        <w:jc w:val="center"/>
        <w:rPr>
          <w:rFonts w:asciiTheme="majorHAnsi" w:hAnsiTheme="majorHAnsi"/>
          <w:sz w:val="18"/>
          <w:szCs w:val="20"/>
        </w:rPr>
      </w:pPr>
      <w:r w:rsidRPr="0046030A">
        <w:rPr>
          <w:rFonts w:asciiTheme="majorHAnsi" w:hAnsiTheme="majorHAnsi"/>
          <w:sz w:val="18"/>
          <w:szCs w:val="20"/>
        </w:rPr>
        <w:t>FRIENDLY SETTLEMENT</w:t>
      </w:r>
      <w:r w:rsidR="00E709B3" w:rsidRPr="0046030A">
        <w:rPr>
          <w:rFonts w:asciiTheme="majorHAnsi" w:hAnsiTheme="majorHAnsi"/>
          <w:sz w:val="18"/>
          <w:szCs w:val="20"/>
        </w:rPr>
        <w:t xml:space="preserve"> </w:t>
      </w:r>
    </w:p>
    <w:p w14:paraId="35FA2B37" w14:textId="564DAC69" w:rsidR="00F538CE" w:rsidRPr="00B672D5" w:rsidRDefault="00F538CE" w:rsidP="00CC1279">
      <w:pPr>
        <w:tabs>
          <w:tab w:val="center" w:pos="5400"/>
        </w:tabs>
        <w:suppressAutoHyphens/>
        <w:jc w:val="center"/>
        <w:rPr>
          <w:rFonts w:ascii="Cambria" w:hAnsi="Cambria"/>
          <w:sz w:val="18"/>
          <w:szCs w:val="20"/>
        </w:rPr>
      </w:pPr>
      <w:r w:rsidRPr="00B672D5">
        <w:rPr>
          <w:rFonts w:ascii="Cambria" w:hAnsi="Cambria"/>
          <w:sz w:val="18"/>
          <w:szCs w:val="20"/>
        </w:rPr>
        <w:t>VICTOR PINEDA HENESTROSA</w:t>
      </w:r>
    </w:p>
    <w:p w14:paraId="5958BB51" w14:textId="0E3839CF" w:rsidR="00F538CE" w:rsidRPr="0046030A" w:rsidRDefault="00F538CE" w:rsidP="00CC1279">
      <w:pPr>
        <w:tabs>
          <w:tab w:val="center" w:pos="5400"/>
        </w:tabs>
        <w:suppressAutoHyphens/>
        <w:jc w:val="center"/>
        <w:rPr>
          <w:rFonts w:ascii="Cambria" w:hAnsi="Cambria"/>
          <w:sz w:val="18"/>
          <w:szCs w:val="20"/>
          <w:lang w:val="es-419"/>
        </w:rPr>
      </w:pPr>
      <w:r w:rsidRPr="0046030A">
        <w:rPr>
          <w:rFonts w:ascii="Cambria" w:hAnsi="Cambria"/>
          <w:sz w:val="18"/>
          <w:szCs w:val="20"/>
          <w:lang w:val="es-419"/>
        </w:rPr>
        <w:t>MEXICO</w:t>
      </w:r>
      <w:r w:rsidR="006A2535" w:rsidRPr="0046030A">
        <w:rPr>
          <w:rStyle w:val="FootnoteReference"/>
          <w:rFonts w:ascii="Cambria" w:hAnsi="Cambria"/>
          <w:sz w:val="18"/>
          <w:szCs w:val="20"/>
          <w:lang w:val="pt-BR"/>
        </w:rPr>
        <w:footnoteReference w:id="2"/>
      </w:r>
    </w:p>
    <w:p w14:paraId="13E4BED3" w14:textId="075A7DFD" w:rsidR="003C32BC" w:rsidRPr="0046030A" w:rsidRDefault="003245F2" w:rsidP="00CC1279">
      <w:pPr>
        <w:tabs>
          <w:tab w:val="center" w:pos="5400"/>
        </w:tabs>
        <w:suppressAutoHyphens/>
        <w:jc w:val="center"/>
        <w:rPr>
          <w:rFonts w:asciiTheme="majorHAnsi" w:hAnsiTheme="majorHAnsi"/>
          <w:sz w:val="18"/>
          <w:szCs w:val="20"/>
          <w:lang w:val="es-419"/>
        </w:rPr>
      </w:pPr>
      <w:r w:rsidRPr="0046030A">
        <w:rPr>
          <w:rFonts w:asciiTheme="majorHAnsi" w:hAnsiTheme="majorHAnsi"/>
          <w:sz w:val="18"/>
          <w:szCs w:val="20"/>
          <w:lang w:val="es-419"/>
        </w:rPr>
        <w:t>OCTO</w:t>
      </w:r>
      <w:r w:rsidR="0046030A" w:rsidRPr="0046030A">
        <w:rPr>
          <w:rFonts w:asciiTheme="majorHAnsi" w:hAnsiTheme="majorHAnsi"/>
          <w:sz w:val="18"/>
          <w:szCs w:val="20"/>
          <w:lang w:val="es-419"/>
        </w:rPr>
        <w:t>BER 20, 2023</w:t>
      </w:r>
    </w:p>
    <w:p w14:paraId="4979604C" w14:textId="77777777" w:rsidR="007607C4" w:rsidRDefault="007607C4" w:rsidP="00145EDC">
      <w:pPr>
        <w:tabs>
          <w:tab w:val="center" w:pos="5400"/>
        </w:tabs>
        <w:suppressAutoHyphens/>
        <w:spacing w:line="276" w:lineRule="auto"/>
        <w:rPr>
          <w:rFonts w:asciiTheme="majorHAnsi" w:hAnsiTheme="majorHAnsi"/>
          <w:sz w:val="20"/>
          <w:szCs w:val="20"/>
          <w:lang w:val="es-419"/>
        </w:rPr>
      </w:pPr>
    </w:p>
    <w:p w14:paraId="7C4990FD" w14:textId="77777777" w:rsidR="002F6454" w:rsidRPr="0046030A" w:rsidRDefault="002F6454" w:rsidP="00145EDC">
      <w:pPr>
        <w:tabs>
          <w:tab w:val="center" w:pos="5400"/>
        </w:tabs>
        <w:suppressAutoHyphens/>
        <w:spacing w:line="276" w:lineRule="auto"/>
        <w:rPr>
          <w:rFonts w:asciiTheme="majorHAnsi" w:hAnsiTheme="majorHAnsi"/>
          <w:sz w:val="20"/>
          <w:szCs w:val="20"/>
          <w:lang w:val="es-419"/>
        </w:rPr>
      </w:pPr>
    </w:p>
    <w:p w14:paraId="0574AB1A" w14:textId="77777777" w:rsidR="00FA675D" w:rsidRPr="0046030A"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46030A">
        <w:rPr>
          <w:rFonts w:eastAsia="Times New Roman"/>
          <w:b/>
          <w:bCs/>
          <w:kern w:val="36"/>
          <w:sz w:val="20"/>
          <w:szCs w:val="20"/>
          <w:lang w:eastAsia="es-BO"/>
        </w:rPr>
        <w:t xml:space="preserve">SUMMARY </w:t>
      </w:r>
      <w:r w:rsidRPr="0046030A">
        <w:rPr>
          <w:b/>
          <w:bCs/>
          <w:sz w:val="20"/>
          <w:szCs w:val="20"/>
        </w:rPr>
        <w:t>AND RELEVANT PROCEEDINGS OF THE FRIENDLY SETTLEMENT PROCESS</w:t>
      </w:r>
      <w:r w:rsidRPr="0046030A">
        <w:rPr>
          <w:rFonts w:eastAsia="MS Mincho" w:cstheme="minorHAnsi"/>
          <w:b/>
          <w:color w:val="000000" w:themeColor="text1"/>
          <w:sz w:val="20"/>
          <w:szCs w:val="20"/>
        </w:rPr>
        <w:t xml:space="preserve"> </w:t>
      </w:r>
    </w:p>
    <w:p w14:paraId="67D4BDB0" w14:textId="77777777" w:rsidR="00DA37B6" w:rsidRPr="0046030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7593F86B" w14:textId="48717CB0" w:rsidR="00F538CE" w:rsidRPr="0046030A" w:rsidRDefault="00AF184F" w:rsidP="00DA5950">
      <w:pPr>
        <w:pStyle w:val="ListParagraph"/>
        <w:numPr>
          <w:ilvl w:val="0"/>
          <w:numId w:val="108"/>
        </w:numPr>
        <w:tabs>
          <w:tab w:val="left" w:pos="1440"/>
        </w:tabs>
        <w:ind w:left="0" w:firstLine="720"/>
        <w:jc w:val="both"/>
        <w:rPr>
          <w:b/>
          <w:bCs/>
          <w:i/>
          <w:iCs/>
          <w:sz w:val="20"/>
          <w:szCs w:val="20"/>
          <w:bdr w:val="none" w:sz="0" w:space="0" w:color="auto" w:frame="1"/>
        </w:rPr>
      </w:pPr>
      <w:r w:rsidRPr="0046030A">
        <w:rPr>
          <w:sz w:val="20"/>
          <w:szCs w:val="20"/>
          <w:bdr w:val="none" w:sz="0" w:space="0" w:color="auto" w:frame="1"/>
        </w:rPr>
        <w:t xml:space="preserve">On March 11, 1997, the Inter-American Commission on Human Rights (hereinafter "the Commission" or "IACHR") received a petition </w:t>
      </w:r>
      <w:r w:rsidR="00A82FDD" w:rsidRPr="0046030A">
        <w:rPr>
          <w:sz w:val="20"/>
          <w:szCs w:val="20"/>
          <w:bdr w:val="none" w:sz="0" w:space="0" w:color="auto" w:frame="1"/>
        </w:rPr>
        <w:t xml:space="preserve">filed </w:t>
      </w:r>
      <w:r w:rsidRPr="0046030A">
        <w:rPr>
          <w:sz w:val="20"/>
          <w:szCs w:val="20"/>
          <w:bdr w:val="none" w:sz="0" w:space="0" w:color="auto" w:frame="1"/>
        </w:rPr>
        <w:t>by the Teachers' Human Rights Commission and the Secretariat of Legal Affairs of Section XXII of the National Union of Education Workers, (hereinafter "the petitioners"), alleging the international responsibility of the United Mexican States (hereinafter "State" or "Mexican State" or "Mexico"), for the violation of the human rights contemplated in Articles 4 (right to life), 5 (humane treatment), 7 (personal liberty), 8 (fair trial) and 25 (judicial protection) of the American Convention on Human Rights, (hereinafter "Convention" or "American Convention"), and of Articles I, II, III, VIII, IX and XI of the Inter-American Convention on Forced Disappearance of Persons, to the detriment of Professor Víctor Pineda Henestrosa, (hereinafter "alleged victim"), who was allegedly disappeared by soldiers of the Mexican Army on July 11, 1978. Subsequently, on April 11, 2001, the Center for Justice and International Law (CEJIL), assumed the representation of the victims in the case and, on June 22, 2021, the International Institute for Social Responsibility and Human Rights ("IIRESODH") was constituted as a co-petitioner organization. Finally, on May 22, 2023, CEJIL informed about the termination of its representation in the case</w:t>
      </w:r>
      <w:r w:rsidR="00F538CE" w:rsidRPr="0046030A">
        <w:rPr>
          <w:sz w:val="20"/>
          <w:szCs w:val="20"/>
          <w:bdr w:val="none" w:sz="0" w:space="0" w:color="auto" w:frame="1"/>
        </w:rPr>
        <w:t xml:space="preserve">. </w:t>
      </w:r>
    </w:p>
    <w:p w14:paraId="48AE25F2" w14:textId="77777777" w:rsidR="00F538CE" w:rsidRPr="0046030A" w:rsidRDefault="00F538CE" w:rsidP="00F538CE">
      <w:pPr>
        <w:rPr>
          <w:lang w:eastAsia="es-ES"/>
        </w:rPr>
      </w:pPr>
    </w:p>
    <w:p w14:paraId="5BF27F2B" w14:textId="44C9428E" w:rsidR="00F538CE" w:rsidRPr="0046030A" w:rsidRDefault="00AF184F" w:rsidP="00F538CE">
      <w:pPr>
        <w:pStyle w:val="ListParagraph"/>
        <w:numPr>
          <w:ilvl w:val="0"/>
          <w:numId w:val="108"/>
        </w:numPr>
        <w:tabs>
          <w:tab w:val="left" w:pos="1440"/>
        </w:tabs>
        <w:ind w:left="0" w:firstLine="720"/>
        <w:jc w:val="both"/>
        <w:rPr>
          <w:rFonts w:eastAsia="Times New Roman"/>
          <w:sz w:val="20"/>
          <w:szCs w:val="20"/>
        </w:rPr>
      </w:pPr>
      <w:r w:rsidRPr="0046030A">
        <w:rPr>
          <w:rFonts w:eastAsia="Times New Roman"/>
          <w:sz w:val="20"/>
          <w:szCs w:val="20"/>
        </w:rPr>
        <w:t>On February 26, 2001, in the city of Washington D.C. within the sphere of the 110</w:t>
      </w:r>
      <w:r w:rsidRPr="0046030A">
        <w:rPr>
          <w:rFonts w:eastAsia="Times New Roman"/>
          <w:sz w:val="20"/>
          <w:szCs w:val="20"/>
          <w:vertAlign w:val="superscript"/>
        </w:rPr>
        <w:t>th</w:t>
      </w:r>
      <w:r w:rsidR="0005137C" w:rsidRPr="0046030A">
        <w:rPr>
          <w:rFonts w:eastAsia="Times New Roman"/>
          <w:sz w:val="20"/>
          <w:szCs w:val="20"/>
        </w:rPr>
        <w:t xml:space="preserve"> </w:t>
      </w:r>
      <w:r w:rsidRPr="0046030A">
        <w:rPr>
          <w:rFonts w:eastAsia="Times New Roman"/>
          <w:sz w:val="20"/>
          <w:szCs w:val="20"/>
        </w:rPr>
        <w:t>Regular Session of the IACHR, a work meeting was held in which the parties expressed their willingness to move forward in the search for a friendly settlement, which materialized with the signing of a friendly settlement agreement (hereinafter " FSA") on February 27, 2002</w:t>
      </w:r>
      <w:r w:rsidR="007E21D0" w:rsidRPr="0046030A">
        <w:rPr>
          <w:rFonts w:eastAsia="Times New Roman"/>
          <w:sz w:val="20"/>
          <w:szCs w:val="20"/>
        </w:rPr>
        <w:t xml:space="preserve">. This agreement </w:t>
      </w:r>
      <w:r w:rsidRPr="0046030A">
        <w:rPr>
          <w:rFonts w:eastAsia="Times New Roman"/>
          <w:sz w:val="20"/>
          <w:szCs w:val="20"/>
        </w:rPr>
        <w:t>was subsequently amended by a second FSA signed on July 8, 2003, in which the scope of the commitments assumed by the State and the authorities specifically involved in its implementation</w:t>
      </w:r>
      <w:r w:rsidR="00F538CE" w:rsidRPr="0046030A">
        <w:rPr>
          <w:rFonts w:eastAsia="Times New Roman"/>
          <w:sz w:val="20"/>
          <w:szCs w:val="20"/>
        </w:rPr>
        <w:t>.</w:t>
      </w:r>
    </w:p>
    <w:p w14:paraId="01056EB0" w14:textId="77777777" w:rsidR="00F538CE" w:rsidRPr="0046030A" w:rsidRDefault="00F538CE" w:rsidP="00F538CE">
      <w:pPr>
        <w:pStyle w:val="ListParagraph"/>
        <w:rPr>
          <w:rFonts w:eastAsia="Times New Roman"/>
          <w:sz w:val="20"/>
          <w:szCs w:val="20"/>
          <w:bdr w:val="none" w:sz="0" w:space="0" w:color="auto" w:frame="1"/>
        </w:rPr>
      </w:pPr>
    </w:p>
    <w:p w14:paraId="48741627" w14:textId="60FEF7FC" w:rsidR="00F538CE" w:rsidRPr="0046030A" w:rsidRDefault="00F8356F" w:rsidP="00F538C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olor w:val="auto"/>
          <w:sz w:val="20"/>
          <w:szCs w:val="20"/>
          <w:bdr w:val="none" w:sz="0" w:space="0" w:color="auto" w:frame="1"/>
        </w:rPr>
      </w:pPr>
      <w:r w:rsidRPr="0046030A">
        <w:rPr>
          <w:rFonts w:asciiTheme="majorHAnsi" w:hAnsiTheme="majorHAnsi"/>
          <w:sz w:val="20"/>
          <w:szCs w:val="20"/>
        </w:rPr>
        <w:t>In addition, the Commission facilitated work meetings for the implementation of the friendly settlement agreement on November 14, 2001, March 5 and October 11, 2007 and August 31, 2017</w:t>
      </w:r>
      <w:r w:rsidR="00F538CE" w:rsidRPr="0046030A">
        <w:rPr>
          <w:rFonts w:asciiTheme="majorHAnsi" w:hAnsiTheme="majorHAnsi"/>
          <w:sz w:val="20"/>
          <w:szCs w:val="20"/>
        </w:rPr>
        <w:t>.</w:t>
      </w:r>
    </w:p>
    <w:p w14:paraId="2882A332" w14:textId="77777777" w:rsidR="00F538CE" w:rsidRPr="0046030A" w:rsidRDefault="00F538CE" w:rsidP="00F538CE">
      <w:pPr>
        <w:pStyle w:val="ListParagraph"/>
        <w:rPr>
          <w:rFonts w:eastAsia="Times New Roman"/>
          <w:sz w:val="20"/>
          <w:szCs w:val="20"/>
          <w:bdr w:val="none" w:sz="0" w:space="0" w:color="auto" w:frame="1"/>
        </w:rPr>
      </w:pPr>
    </w:p>
    <w:p w14:paraId="36BB8FFA" w14:textId="6B1AEA09" w:rsidR="00F538CE" w:rsidRPr="0046030A" w:rsidRDefault="00F8356F" w:rsidP="00F538C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rPr>
      </w:pPr>
      <w:r w:rsidRPr="0046030A">
        <w:rPr>
          <w:rFonts w:eastAsia="Times New Roman"/>
          <w:sz w:val="20"/>
          <w:szCs w:val="20"/>
          <w:bdr w:val="none" w:sz="0" w:space="0" w:color="auto" w:frame="1"/>
        </w:rPr>
        <w:t xml:space="preserve">On May 5, 2020, the Commission notified the petitioner of Resolution 3/20 on differentiated actions to address the procedural backlog in friendly settlement proceedings. In this regard, the </w:t>
      </w:r>
      <w:r w:rsidR="007E21D0" w:rsidRPr="0046030A">
        <w:rPr>
          <w:rFonts w:eastAsia="Times New Roman"/>
          <w:sz w:val="20"/>
          <w:szCs w:val="20"/>
          <w:bdr w:val="none" w:sz="0" w:space="0" w:color="auto" w:frame="1"/>
        </w:rPr>
        <w:t>p</w:t>
      </w:r>
      <w:r w:rsidRPr="0046030A">
        <w:rPr>
          <w:rFonts w:eastAsia="Times New Roman"/>
          <w:sz w:val="20"/>
          <w:szCs w:val="20"/>
          <w:bdr w:val="none" w:sz="0" w:space="0" w:color="auto" w:frame="1"/>
        </w:rPr>
        <w:t xml:space="preserve">etitioner requested extensions on June 22 and August 3, 2020 and January 7, 2021, which were granted on July 2 and October 10, 2020 and January 16, 2021. On March 27, 2021, the petitioners requested a work meeting, </w:t>
      </w:r>
      <w:r w:rsidR="007E21D0" w:rsidRPr="0046030A">
        <w:rPr>
          <w:rFonts w:eastAsia="Times New Roman"/>
          <w:sz w:val="20"/>
          <w:szCs w:val="20"/>
          <w:bdr w:val="none" w:sz="0" w:space="0" w:color="auto" w:frame="1"/>
        </w:rPr>
        <w:t xml:space="preserve">therefore </w:t>
      </w:r>
      <w:r w:rsidRPr="0046030A">
        <w:rPr>
          <w:rFonts w:eastAsia="Times New Roman"/>
          <w:sz w:val="20"/>
          <w:szCs w:val="20"/>
          <w:bdr w:val="none" w:sz="0" w:space="0" w:color="auto" w:frame="1"/>
        </w:rPr>
        <w:t xml:space="preserve">on January 20, 2022, the technical team of the Executive Secretariat of the IACHR facilitated a </w:t>
      </w:r>
      <w:r w:rsidR="007E21D0" w:rsidRPr="0046030A">
        <w:rPr>
          <w:rFonts w:eastAsia="Times New Roman"/>
          <w:sz w:val="20"/>
          <w:szCs w:val="20"/>
          <w:bdr w:val="none" w:sz="0" w:space="0" w:color="auto" w:frame="1"/>
        </w:rPr>
        <w:t xml:space="preserve">joint </w:t>
      </w:r>
      <w:r w:rsidRPr="0046030A">
        <w:rPr>
          <w:rFonts w:eastAsia="Times New Roman"/>
          <w:sz w:val="20"/>
          <w:szCs w:val="20"/>
          <w:bdr w:val="none" w:sz="0" w:space="0" w:color="auto" w:frame="1"/>
        </w:rPr>
        <w:t xml:space="preserve">technical meeting, in which the parties agreed on the prioritization of actions to achieve the </w:t>
      </w:r>
      <w:r w:rsidR="007E21D0" w:rsidRPr="0046030A">
        <w:rPr>
          <w:rFonts w:eastAsia="Times New Roman"/>
          <w:sz w:val="20"/>
          <w:szCs w:val="20"/>
          <w:bdr w:val="none" w:sz="0" w:space="0" w:color="auto" w:frame="1"/>
        </w:rPr>
        <w:t xml:space="preserve">approval </w:t>
      </w:r>
      <w:r w:rsidRPr="0046030A">
        <w:rPr>
          <w:rFonts w:eastAsia="Times New Roman"/>
          <w:sz w:val="20"/>
          <w:szCs w:val="20"/>
          <w:bdr w:val="none" w:sz="0" w:space="0" w:color="auto" w:frame="1"/>
        </w:rPr>
        <w:t>of the FSA</w:t>
      </w:r>
      <w:r w:rsidR="00F538CE" w:rsidRPr="0046030A">
        <w:rPr>
          <w:rFonts w:eastAsia="Times New Roman"/>
          <w:sz w:val="20"/>
          <w:szCs w:val="20"/>
          <w:bdr w:val="none" w:sz="0" w:space="0" w:color="auto" w:frame="1"/>
        </w:rPr>
        <w:t xml:space="preserve">. </w:t>
      </w:r>
    </w:p>
    <w:p w14:paraId="548F495A" w14:textId="77777777" w:rsidR="00F538CE" w:rsidRPr="0046030A" w:rsidRDefault="00F538CE" w:rsidP="00F538CE">
      <w:pPr>
        <w:pStyle w:val="ListParagraph"/>
        <w:rPr>
          <w:rFonts w:eastAsia="Times New Roman"/>
          <w:sz w:val="20"/>
          <w:szCs w:val="20"/>
          <w:bdr w:val="none" w:sz="0" w:space="0" w:color="auto" w:frame="1"/>
        </w:rPr>
      </w:pPr>
    </w:p>
    <w:p w14:paraId="17FDF23E" w14:textId="4F1DD2A6" w:rsidR="00F538CE" w:rsidRPr="0046030A" w:rsidRDefault="00F8356F" w:rsidP="00F538C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bdr w:val="none" w:sz="0" w:space="0" w:color="auto" w:frame="1"/>
        </w:rPr>
      </w:pPr>
      <w:r w:rsidRPr="0046030A">
        <w:rPr>
          <w:rFonts w:eastAsia="Times New Roman"/>
          <w:sz w:val="20"/>
          <w:szCs w:val="20"/>
          <w:bdr w:val="none" w:sz="0" w:space="0" w:color="auto" w:frame="1"/>
        </w:rPr>
        <w:t xml:space="preserve">On January 21, 2023, the Commission reiterated to the petitioner party the request for its position regarding the course of action of the negotiation process, and on February 21, 2023, the petitioner indicated its agreement with the </w:t>
      </w:r>
      <w:r w:rsidR="007E21D0" w:rsidRPr="0046030A">
        <w:rPr>
          <w:rFonts w:eastAsia="Times New Roman"/>
          <w:sz w:val="20"/>
          <w:szCs w:val="20"/>
          <w:bdr w:val="none" w:sz="0" w:space="0" w:color="auto" w:frame="1"/>
        </w:rPr>
        <w:t xml:space="preserve">approval of the FSA </w:t>
      </w:r>
      <w:r w:rsidRPr="0046030A">
        <w:rPr>
          <w:rFonts w:eastAsia="Times New Roman"/>
          <w:sz w:val="20"/>
          <w:szCs w:val="20"/>
          <w:bdr w:val="none" w:sz="0" w:space="0" w:color="auto" w:frame="1"/>
        </w:rPr>
        <w:t>once the transfer of resources in relation to one of the measures was made and a new meeting was convened between the parties to discuss the measure o</w:t>
      </w:r>
      <w:r w:rsidR="007E21D0" w:rsidRPr="0046030A">
        <w:rPr>
          <w:rFonts w:eastAsia="Times New Roman"/>
          <w:sz w:val="20"/>
          <w:szCs w:val="20"/>
          <w:bdr w:val="none" w:sz="0" w:space="0" w:color="auto" w:frame="1"/>
        </w:rPr>
        <w:t>n</w:t>
      </w:r>
      <w:r w:rsidRPr="0046030A">
        <w:rPr>
          <w:rFonts w:eastAsia="Times New Roman"/>
          <w:sz w:val="20"/>
          <w:szCs w:val="20"/>
          <w:bdr w:val="none" w:sz="0" w:space="0" w:color="auto" w:frame="1"/>
        </w:rPr>
        <w:t xml:space="preserve"> justice</w:t>
      </w:r>
      <w:r w:rsidR="00F538CE" w:rsidRPr="0046030A">
        <w:rPr>
          <w:rFonts w:eastAsia="Times New Roman"/>
          <w:sz w:val="20"/>
          <w:szCs w:val="20"/>
          <w:bdr w:val="none" w:sz="0" w:space="0" w:color="auto" w:frame="1"/>
        </w:rPr>
        <w:t xml:space="preserve">. </w:t>
      </w:r>
    </w:p>
    <w:p w14:paraId="0442E142" w14:textId="77777777" w:rsidR="00F538CE" w:rsidRPr="0046030A" w:rsidRDefault="00F538CE" w:rsidP="00F538CE">
      <w:pPr>
        <w:tabs>
          <w:tab w:val="left" w:pos="1440"/>
        </w:tabs>
        <w:jc w:val="both"/>
        <w:rPr>
          <w:rFonts w:ascii="Cambria" w:hAnsi="Cambria"/>
          <w:sz w:val="20"/>
          <w:szCs w:val="20"/>
          <w:bdr w:val="none" w:sz="0" w:space="0" w:color="auto"/>
        </w:rPr>
      </w:pPr>
    </w:p>
    <w:p w14:paraId="677E0072" w14:textId="6E2338E2" w:rsidR="00DA37B6" w:rsidRPr="003D2201" w:rsidRDefault="00F8356F"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Times New Roman" w:hAnsi="Cambria"/>
          <w:sz w:val="20"/>
          <w:szCs w:val="20"/>
        </w:rPr>
      </w:pPr>
      <w:r w:rsidRPr="0046030A">
        <w:rPr>
          <w:rFonts w:ascii="Cambria" w:eastAsia="Times New Roman" w:hAnsi="Cambria"/>
          <w:sz w:val="20"/>
          <w:szCs w:val="20"/>
        </w:rPr>
        <w:t>This friendly settlement report, in accordance with Article 49 of the Convention and Article 40.5 of the Commission's Rules of Procedure, contains a summary of the facts alleged by the petitioner and a transcript</w:t>
      </w:r>
      <w:r w:rsidR="007E21D0" w:rsidRPr="0046030A">
        <w:rPr>
          <w:rFonts w:ascii="Cambria" w:eastAsia="Times New Roman" w:hAnsi="Cambria"/>
          <w:sz w:val="20"/>
          <w:szCs w:val="20"/>
        </w:rPr>
        <w:t>ion</w:t>
      </w:r>
      <w:r w:rsidRPr="0046030A">
        <w:rPr>
          <w:rFonts w:ascii="Cambria" w:eastAsia="Times New Roman" w:hAnsi="Cambria"/>
          <w:sz w:val="20"/>
          <w:szCs w:val="20"/>
        </w:rPr>
        <w:t xml:space="preserve"> of the friendly settlement agreement signed on July 8, 2003 by the petitioner and representatives of the Mexican State. Likewise, the agreement signed between the parties is approved and it is agreed that this report will be published in the Annual Report of the IACHR to the General Assembly of the Organization of American States</w:t>
      </w:r>
      <w:r w:rsidR="00F538CE" w:rsidRPr="0046030A">
        <w:rPr>
          <w:rFonts w:ascii="Cambria" w:eastAsia="Times New Roman" w:hAnsi="Cambria"/>
          <w:sz w:val="20"/>
          <w:szCs w:val="20"/>
        </w:rPr>
        <w:t xml:space="preserve">. </w:t>
      </w:r>
    </w:p>
    <w:p w14:paraId="6985AA48" w14:textId="77777777" w:rsidR="00FA675D" w:rsidRPr="0046030A"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46030A">
        <w:rPr>
          <w:rFonts w:eastAsia="Times New Roman"/>
          <w:b/>
          <w:bCs/>
          <w:kern w:val="36"/>
          <w:sz w:val="20"/>
          <w:szCs w:val="20"/>
          <w:lang w:eastAsia="es-BO"/>
        </w:rPr>
        <w:lastRenderedPageBreak/>
        <w:t>THE FACTS ALLEGED</w:t>
      </w:r>
      <w:r w:rsidRPr="0046030A">
        <w:rPr>
          <w:rFonts w:eastAsia="MS Mincho" w:cstheme="minorHAnsi"/>
          <w:b/>
          <w:color w:val="000000" w:themeColor="text1"/>
          <w:sz w:val="20"/>
          <w:szCs w:val="20"/>
        </w:rPr>
        <w:t xml:space="preserve"> </w:t>
      </w:r>
    </w:p>
    <w:p w14:paraId="47E28A2F" w14:textId="77777777" w:rsidR="00DA37B6" w:rsidRPr="0046030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5395FDD2" w14:textId="4626FBFA" w:rsidR="00F538CE" w:rsidRPr="0046030A" w:rsidRDefault="00323147" w:rsidP="00F538CE">
      <w:pPr>
        <w:pStyle w:val="ListParagraph"/>
        <w:numPr>
          <w:ilvl w:val="0"/>
          <w:numId w:val="108"/>
        </w:numPr>
        <w:tabs>
          <w:tab w:val="center" w:pos="0"/>
        </w:tabs>
        <w:suppressAutoHyphens/>
        <w:ind w:left="0" w:firstLine="720"/>
        <w:jc w:val="both"/>
        <w:rPr>
          <w:rFonts w:asciiTheme="majorHAnsi" w:hAnsiTheme="majorHAnsi"/>
          <w:sz w:val="20"/>
          <w:szCs w:val="20"/>
          <w:bdr w:val="none" w:sz="0" w:space="0" w:color="auto" w:frame="1"/>
        </w:rPr>
      </w:pPr>
      <w:r w:rsidRPr="0046030A">
        <w:rPr>
          <w:rFonts w:asciiTheme="majorHAnsi" w:hAnsiTheme="majorHAnsi"/>
          <w:sz w:val="20"/>
          <w:szCs w:val="20"/>
        </w:rPr>
        <w:t>According to the allegations in the petition, on July 11, 1978, at approximately 10:00 a.m., Professor Víctor Pineda Henestrosa was intercepted at the bus terminal in Juchitán de Zaragoza, State of Oaxaca, by an orange-colored van from which five individuals got off, allegedly three of them dressed in military uniforms and two in civilian clothes, carrying machine guns</w:t>
      </w:r>
      <w:r w:rsidR="00A44EF5" w:rsidRPr="0046030A">
        <w:rPr>
          <w:rFonts w:asciiTheme="majorHAnsi" w:hAnsiTheme="majorHAnsi"/>
          <w:sz w:val="20"/>
          <w:szCs w:val="20"/>
        </w:rPr>
        <w:t xml:space="preserve">. They </w:t>
      </w:r>
      <w:r w:rsidRPr="0046030A">
        <w:rPr>
          <w:rFonts w:asciiTheme="majorHAnsi" w:hAnsiTheme="majorHAnsi"/>
          <w:sz w:val="20"/>
          <w:szCs w:val="20"/>
        </w:rPr>
        <w:t>beat Mr. Pineda Henestrosa and forced him to get out of his red Volkswagen Sedan and get into the van, in which they took him to an unknown destination. The alleged victim was an indigenous Zapotec who was dedicated to supporting and advising peasants, mostly indigenous, in land conflicts and the complaint was filed with local authorities on the same day of the disappearance without success</w:t>
      </w:r>
      <w:r w:rsidR="00F538CE" w:rsidRPr="0046030A">
        <w:rPr>
          <w:rFonts w:asciiTheme="majorHAnsi" w:hAnsiTheme="majorHAnsi"/>
          <w:sz w:val="20"/>
          <w:szCs w:val="20"/>
          <w:bdr w:val="none" w:sz="0" w:space="0" w:color="auto" w:frame="1"/>
        </w:rPr>
        <w:t>.</w:t>
      </w:r>
    </w:p>
    <w:p w14:paraId="3C3730B7" w14:textId="77777777" w:rsidR="00F538CE" w:rsidRPr="0046030A" w:rsidRDefault="00F538CE" w:rsidP="00F538CE">
      <w:pPr>
        <w:pStyle w:val="ListParagraph"/>
        <w:tabs>
          <w:tab w:val="center" w:pos="0"/>
        </w:tabs>
        <w:suppressAutoHyphens/>
        <w:jc w:val="both"/>
        <w:rPr>
          <w:rFonts w:asciiTheme="majorHAnsi" w:hAnsiTheme="majorHAnsi"/>
          <w:sz w:val="20"/>
          <w:szCs w:val="20"/>
          <w:bdr w:val="none" w:sz="0" w:space="0" w:color="auto" w:frame="1"/>
        </w:rPr>
      </w:pPr>
    </w:p>
    <w:p w14:paraId="2C54A4A3" w14:textId="152608D8" w:rsidR="00F538CE" w:rsidRPr="0046030A" w:rsidRDefault="00663930" w:rsidP="00F538CE">
      <w:pPr>
        <w:pStyle w:val="ListParagraph"/>
        <w:numPr>
          <w:ilvl w:val="0"/>
          <w:numId w:val="108"/>
        </w:numPr>
        <w:tabs>
          <w:tab w:val="center" w:pos="0"/>
        </w:tabs>
        <w:suppressAutoHyphens/>
        <w:ind w:left="0" w:firstLine="720"/>
        <w:jc w:val="both"/>
        <w:rPr>
          <w:rFonts w:asciiTheme="majorHAnsi" w:hAnsiTheme="majorHAnsi"/>
          <w:sz w:val="20"/>
          <w:szCs w:val="20"/>
          <w:bdr w:val="none" w:sz="0" w:space="0" w:color="auto" w:frame="1"/>
        </w:rPr>
      </w:pPr>
      <w:r w:rsidRPr="0046030A">
        <w:rPr>
          <w:sz w:val="20"/>
          <w:szCs w:val="20"/>
        </w:rPr>
        <w:t xml:space="preserve">The petition alleged that Mrs. Cándida Santiago was informed, when she was in her home, where her husband had left approximately one hour earlier, and that she proceeded to inform the state, municipal, and military authorities in the region, asking about Mr. Pineda Henestrosa's whereabouts, </w:t>
      </w:r>
      <w:r w:rsidR="000C5498" w:rsidRPr="0046030A">
        <w:rPr>
          <w:sz w:val="20"/>
          <w:szCs w:val="20"/>
        </w:rPr>
        <w:t xml:space="preserve">without anyone providing </w:t>
      </w:r>
      <w:r w:rsidRPr="0046030A">
        <w:rPr>
          <w:sz w:val="20"/>
          <w:szCs w:val="20"/>
        </w:rPr>
        <w:t>her with any information about what had happened. According to the allegations in the petition, Mrs. Cándida Santiago was reportedly informed that</w:t>
      </w:r>
      <w:r w:rsidR="000C5498" w:rsidRPr="0046030A">
        <w:rPr>
          <w:sz w:val="20"/>
          <w:szCs w:val="20"/>
        </w:rPr>
        <w:t>,</w:t>
      </w:r>
      <w:r w:rsidRPr="0046030A">
        <w:rPr>
          <w:sz w:val="20"/>
          <w:szCs w:val="20"/>
        </w:rPr>
        <w:t xml:space="preserve"> among the military individuals who kidnapped her husband</w:t>
      </w:r>
      <w:r w:rsidR="000C5498" w:rsidRPr="0046030A">
        <w:rPr>
          <w:sz w:val="20"/>
          <w:szCs w:val="20"/>
        </w:rPr>
        <w:t>,</w:t>
      </w:r>
      <w:r w:rsidRPr="0046030A">
        <w:rPr>
          <w:sz w:val="20"/>
          <w:szCs w:val="20"/>
        </w:rPr>
        <w:t xml:space="preserve"> was allegedly Staff Sergeant Gabriel Espinosa Peral, who was recognized </w:t>
      </w:r>
      <w:r w:rsidR="000C5498" w:rsidRPr="0046030A">
        <w:rPr>
          <w:sz w:val="20"/>
          <w:szCs w:val="20"/>
        </w:rPr>
        <w:t xml:space="preserve">for being a native of this town </w:t>
      </w:r>
      <w:r w:rsidRPr="0046030A">
        <w:rPr>
          <w:sz w:val="20"/>
          <w:szCs w:val="20"/>
        </w:rPr>
        <w:t>by witnesses who saw the events</w:t>
      </w:r>
      <w:r w:rsidR="00F538CE" w:rsidRPr="0046030A">
        <w:rPr>
          <w:sz w:val="20"/>
          <w:szCs w:val="20"/>
        </w:rPr>
        <w:t>.</w:t>
      </w:r>
    </w:p>
    <w:p w14:paraId="463CD7FB" w14:textId="77777777" w:rsidR="00F538CE" w:rsidRPr="0046030A" w:rsidRDefault="00F538CE" w:rsidP="00F538CE">
      <w:pPr>
        <w:pStyle w:val="ListParagraph"/>
        <w:rPr>
          <w:sz w:val="20"/>
          <w:szCs w:val="20"/>
        </w:rPr>
      </w:pPr>
    </w:p>
    <w:p w14:paraId="27369F10" w14:textId="2E48F562" w:rsidR="00F538CE" w:rsidRPr="0046030A" w:rsidRDefault="00663930" w:rsidP="00F538CE">
      <w:pPr>
        <w:pStyle w:val="ListParagraph"/>
        <w:numPr>
          <w:ilvl w:val="0"/>
          <w:numId w:val="108"/>
        </w:numPr>
        <w:tabs>
          <w:tab w:val="center" w:pos="0"/>
        </w:tabs>
        <w:suppressAutoHyphens/>
        <w:ind w:left="0" w:firstLine="720"/>
        <w:jc w:val="both"/>
        <w:rPr>
          <w:rFonts w:asciiTheme="majorHAnsi" w:hAnsiTheme="majorHAnsi"/>
          <w:sz w:val="20"/>
          <w:szCs w:val="20"/>
          <w:bdr w:val="none" w:sz="0" w:space="0" w:color="auto" w:frame="1"/>
        </w:rPr>
      </w:pPr>
      <w:r w:rsidRPr="0046030A">
        <w:rPr>
          <w:sz w:val="20"/>
          <w:szCs w:val="20"/>
        </w:rPr>
        <w:t>According to the petitioners' allegations, as of the date the petition was filed, the whereabouts of the victim had not been located, nor had those responsible for his disappearance been identified and punished</w:t>
      </w:r>
      <w:r w:rsidR="00F538CE" w:rsidRPr="0046030A">
        <w:rPr>
          <w:sz w:val="20"/>
          <w:szCs w:val="20"/>
        </w:rPr>
        <w:t>.</w:t>
      </w:r>
    </w:p>
    <w:p w14:paraId="0EFEAE48" w14:textId="77777777" w:rsidR="00DA37B6" w:rsidRPr="0046030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46030A" w:rsidRDefault="00FA675D" w:rsidP="00DA37B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46030A">
        <w:rPr>
          <w:rFonts w:ascii="Cambria" w:eastAsia="MS Mincho" w:hAnsi="Cambria" w:cstheme="minorHAnsi"/>
          <w:b/>
          <w:color w:val="000000" w:themeColor="text1"/>
          <w:sz w:val="20"/>
          <w:szCs w:val="20"/>
          <w:lang w:val="es-CO"/>
        </w:rPr>
        <w:t>FRIENDLY SETTLEMENT</w:t>
      </w:r>
    </w:p>
    <w:p w14:paraId="1009841C" w14:textId="77777777" w:rsidR="00DA37B6" w:rsidRPr="0046030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lang w:val="es-CO"/>
        </w:rPr>
      </w:pPr>
    </w:p>
    <w:p w14:paraId="323E1460" w14:textId="76A27DC9" w:rsidR="00F538CE" w:rsidRPr="0046030A" w:rsidRDefault="00EF790C" w:rsidP="00F538C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bdr w:val="none" w:sz="0" w:space="0" w:color="auto"/>
        </w:rPr>
      </w:pPr>
      <w:r w:rsidRPr="0046030A">
        <w:rPr>
          <w:rFonts w:eastAsia="Times New Roman"/>
          <w:sz w:val="20"/>
          <w:szCs w:val="20"/>
        </w:rPr>
        <w:t>On July 8, 2003, the parties signed a friendly settlement agreement. Below is the text of the friendly settlement agreement submitted to the IACHR</w:t>
      </w:r>
      <w:r w:rsidR="00F538CE" w:rsidRPr="0046030A">
        <w:rPr>
          <w:rFonts w:eastAsia="Times New Roman"/>
          <w:sz w:val="20"/>
          <w:szCs w:val="20"/>
        </w:rPr>
        <w:t>:</w:t>
      </w:r>
    </w:p>
    <w:p w14:paraId="12A06764" w14:textId="77777777" w:rsidR="00F538CE" w:rsidRPr="0046030A" w:rsidRDefault="00F538CE" w:rsidP="00F538CE">
      <w:pPr>
        <w:jc w:val="both"/>
        <w:rPr>
          <w:rFonts w:ascii="Cambria" w:hAnsi="Cambria" w:cs="Calibri"/>
          <w:sz w:val="20"/>
          <w:szCs w:val="20"/>
        </w:rPr>
      </w:pPr>
    </w:p>
    <w:p w14:paraId="1E3C05E5" w14:textId="77777777" w:rsidR="00611CC2" w:rsidRPr="0046030A" w:rsidRDefault="00611CC2" w:rsidP="00611CC2">
      <w:pPr>
        <w:pBdr>
          <w:top w:val="none" w:sz="0" w:space="0" w:color="auto"/>
          <w:left w:val="none" w:sz="0" w:space="0" w:color="auto"/>
          <w:bottom w:val="none" w:sz="0" w:space="0" w:color="auto"/>
          <w:right w:val="none" w:sz="0" w:space="0" w:color="auto"/>
          <w:between w:val="none" w:sz="0" w:space="0" w:color="auto"/>
          <w:bar w:val="none" w:sz="0" w:color="auto"/>
        </w:pBdr>
        <w:ind w:left="1003"/>
        <w:jc w:val="center"/>
        <w:rPr>
          <w:rFonts w:ascii="Cambria" w:eastAsia="Times New Roman" w:hAnsi="Cambria"/>
          <w:b/>
          <w:sz w:val="20"/>
          <w:szCs w:val="20"/>
        </w:rPr>
      </w:pPr>
      <w:r w:rsidRPr="0046030A">
        <w:rPr>
          <w:rFonts w:ascii="Cambria" w:eastAsia="MS Mincho" w:hAnsi="Cambria" w:cstheme="minorHAnsi"/>
          <w:b/>
          <w:color w:val="000000" w:themeColor="text1"/>
          <w:sz w:val="20"/>
          <w:szCs w:val="20"/>
        </w:rPr>
        <w:t>FRIENDLY SETTLEMENT</w:t>
      </w:r>
      <w:r w:rsidRPr="0046030A">
        <w:rPr>
          <w:rFonts w:ascii="Cambria" w:eastAsia="Times New Roman" w:hAnsi="Cambria"/>
          <w:b/>
          <w:sz w:val="20"/>
          <w:szCs w:val="20"/>
        </w:rPr>
        <w:t xml:space="preserve"> AGREEMENT</w:t>
      </w:r>
    </w:p>
    <w:p w14:paraId="7771E883" w14:textId="4D6CFDE1" w:rsidR="00F538CE" w:rsidRPr="0046030A" w:rsidRDefault="00611CC2" w:rsidP="00DA5950">
      <w:pPr>
        <w:ind w:left="1260" w:right="720"/>
        <w:jc w:val="center"/>
        <w:rPr>
          <w:rFonts w:asciiTheme="majorHAnsi" w:hAnsiTheme="majorHAnsi" w:cs="Calibri"/>
          <w:b/>
          <w:sz w:val="20"/>
          <w:szCs w:val="20"/>
        </w:rPr>
      </w:pPr>
      <w:r w:rsidRPr="0046030A">
        <w:rPr>
          <w:rStyle w:val="normaltextrun"/>
          <w:rFonts w:ascii="Cambria" w:hAnsi="Cambria"/>
          <w:b/>
          <w:bCs/>
          <w:color w:val="000000"/>
          <w:sz w:val="20"/>
          <w:szCs w:val="20"/>
          <w:bdr w:val="none" w:sz="0" w:space="0" w:color="auto" w:frame="1"/>
        </w:rPr>
        <w:t>CASE</w:t>
      </w:r>
      <w:r w:rsidR="00F538CE" w:rsidRPr="0046030A">
        <w:rPr>
          <w:rFonts w:asciiTheme="majorHAnsi" w:hAnsiTheme="majorHAnsi" w:cs="Calibri"/>
          <w:b/>
          <w:bCs/>
          <w:color w:val="000000" w:themeColor="text1"/>
          <w:sz w:val="20"/>
          <w:szCs w:val="20"/>
        </w:rPr>
        <w:t xml:space="preserve"> 11.733 PROFR. </w:t>
      </w:r>
      <w:r w:rsidR="00F538CE" w:rsidRPr="0046030A">
        <w:rPr>
          <w:rFonts w:asciiTheme="majorHAnsi" w:hAnsiTheme="majorHAnsi" w:cs="Calibri"/>
          <w:b/>
          <w:sz w:val="20"/>
          <w:szCs w:val="20"/>
        </w:rPr>
        <w:t>VÍCTOR PINEDA HENESTROSA</w:t>
      </w:r>
    </w:p>
    <w:p w14:paraId="67F1D2A3" w14:textId="77777777" w:rsidR="00F538CE" w:rsidRPr="0046030A" w:rsidRDefault="00F538CE" w:rsidP="00F538CE">
      <w:pPr>
        <w:ind w:left="709" w:right="720"/>
        <w:rPr>
          <w:rFonts w:asciiTheme="majorHAnsi" w:hAnsiTheme="majorHAnsi" w:cs="Calibri"/>
          <w:b/>
          <w:bCs/>
          <w:color w:val="000000" w:themeColor="text1"/>
          <w:sz w:val="20"/>
          <w:szCs w:val="20"/>
        </w:rPr>
      </w:pPr>
    </w:p>
    <w:p w14:paraId="432AAA88" w14:textId="0242350A" w:rsidR="00F538CE" w:rsidRPr="0046030A" w:rsidRDefault="00EF790C" w:rsidP="00F538CE">
      <w:pPr>
        <w:ind w:left="709" w:right="713"/>
        <w:jc w:val="both"/>
        <w:rPr>
          <w:rFonts w:asciiTheme="majorHAnsi" w:hAnsiTheme="majorHAnsi" w:cs="Calibri"/>
          <w:color w:val="000000" w:themeColor="text1"/>
          <w:sz w:val="20"/>
          <w:szCs w:val="20"/>
        </w:rPr>
      </w:pPr>
      <w:r w:rsidRPr="0046030A">
        <w:rPr>
          <w:rFonts w:asciiTheme="majorHAnsi" w:hAnsiTheme="majorHAnsi" w:cs="Calibri"/>
          <w:color w:val="000000" w:themeColor="text1"/>
          <w:sz w:val="20"/>
          <w:szCs w:val="20"/>
        </w:rPr>
        <w:t xml:space="preserve">The United Mexican States, represented by the Ministry of Foreign Affairs, through the Undersecretary for Human Rights and Democracy, Ms. Mariclaire Acosta Urquidi and Mr. Juan José Gómez Camacho, General Director of Human Rights; as well as the Government of the Free and Sovereign State of Oaxaca, through Mr. Sergio H. Santibáñez, Attorney General and Ms. Gloria del Carmen Camacho Meza, General Coordinator of Human Rights of the Executive Branch, hereinafter referred to as </w:t>
      </w:r>
      <w:r w:rsidRPr="0046030A">
        <w:rPr>
          <w:rFonts w:asciiTheme="majorHAnsi" w:hAnsiTheme="majorHAnsi" w:cs="Calibri"/>
          <w:b/>
          <w:bCs/>
          <w:color w:val="000000" w:themeColor="text1"/>
          <w:sz w:val="20"/>
          <w:szCs w:val="20"/>
        </w:rPr>
        <w:t>"THE STATE"</w:t>
      </w:r>
      <w:r w:rsidRPr="0046030A">
        <w:rPr>
          <w:rFonts w:asciiTheme="majorHAnsi" w:hAnsiTheme="majorHAnsi" w:cs="Calibri"/>
          <w:color w:val="000000" w:themeColor="text1"/>
          <w:sz w:val="20"/>
          <w:szCs w:val="20"/>
        </w:rPr>
        <w:t xml:space="preserve">, on the one hand,  and on the other hand </w:t>
      </w:r>
      <w:r w:rsidRPr="0046030A">
        <w:rPr>
          <w:rFonts w:asciiTheme="majorHAnsi" w:hAnsiTheme="majorHAnsi" w:cs="Calibri"/>
          <w:b/>
          <w:bCs/>
          <w:color w:val="000000" w:themeColor="text1"/>
          <w:sz w:val="20"/>
          <w:szCs w:val="20"/>
        </w:rPr>
        <w:t>"THE PETITIONERS"</w:t>
      </w:r>
      <w:r w:rsidRPr="0046030A">
        <w:rPr>
          <w:rFonts w:asciiTheme="majorHAnsi" w:hAnsiTheme="majorHAnsi" w:cs="Calibri"/>
          <w:color w:val="000000" w:themeColor="text1"/>
          <w:sz w:val="20"/>
          <w:szCs w:val="20"/>
        </w:rPr>
        <w:t>, represented in this act by Professor Cándida Santiago Jiménez, wife of Professor Víctor Pineda Henestrosa, Professor Irene Hernández de Jesús, Professor José Luis García Zarate, and Lic. Juan Carlos Gutiérrez</w:t>
      </w:r>
      <w:r w:rsidR="000C5498" w:rsidRPr="0046030A">
        <w:rPr>
          <w:rFonts w:asciiTheme="majorHAnsi" w:hAnsiTheme="majorHAnsi" w:cs="Calibri"/>
          <w:color w:val="000000" w:themeColor="text1"/>
          <w:sz w:val="20"/>
          <w:szCs w:val="20"/>
        </w:rPr>
        <w:t>; agree to this Friendly Settlement Agreement</w:t>
      </w:r>
      <w:r w:rsidR="00F538CE" w:rsidRPr="0046030A">
        <w:rPr>
          <w:rFonts w:asciiTheme="majorHAnsi" w:hAnsiTheme="majorHAnsi" w:cs="Calibri"/>
          <w:color w:val="000000" w:themeColor="text1"/>
          <w:sz w:val="20"/>
          <w:szCs w:val="20"/>
        </w:rPr>
        <w:t>.</w:t>
      </w:r>
    </w:p>
    <w:p w14:paraId="56DCEBC9" w14:textId="77777777" w:rsidR="00F538CE" w:rsidRPr="0046030A" w:rsidRDefault="00F538CE" w:rsidP="00F538CE">
      <w:pPr>
        <w:ind w:left="709" w:right="713"/>
        <w:jc w:val="both"/>
        <w:rPr>
          <w:rFonts w:asciiTheme="majorHAnsi" w:hAnsiTheme="majorHAnsi" w:cs="Calibri"/>
          <w:color w:val="000000" w:themeColor="text1"/>
          <w:sz w:val="20"/>
          <w:szCs w:val="20"/>
        </w:rPr>
      </w:pPr>
    </w:p>
    <w:p w14:paraId="744E69B0" w14:textId="03F5CA79" w:rsidR="00F538CE" w:rsidRPr="0046030A" w:rsidRDefault="00EF790C" w:rsidP="00F538CE">
      <w:pPr>
        <w:ind w:left="709" w:right="713"/>
        <w:jc w:val="both"/>
        <w:rPr>
          <w:rFonts w:asciiTheme="majorHAnsi" w:hAnsiTheme="majorHAnsi" w:cs="Calibri"/>
          <w:b/>
          <w:bCs/>
          <w:color w:val="000000" w:themeColor="text1"/>
          <w:sz w:val="20"/>
          <w:szCs w:val="20"/>
        </w:rPr>
      </w:pPr>
      <w:r w:rsidRPr="0046030A">
        <w:rPr>
          <w:rFonts w:asciiTheme="majorHAnsi" w:hAnsiTheme="majorHAnsi" w:cs="Calibri"/>
          <w:color w:val="000000" w:themeColor="text1"/>
          <w:sz w:val="20"/>
          <w:szCs w:val="20"/>
        </w:rPr>
        <w:t xml:space="preserve">On February 27, 2003, in the presence of Dr. Juan E. Méndez, Commissioner, Rapporteur for Mexico, a Friendly Settlement Agreement was signed in Washington, D.C., between the Representative of the Government of Mexico and the Petitioners, which is attached as </w:t>
      </w:r>
      <w:r w:rsidRPr="0046030A">
        <w:rPr>
          <w:rFonts w:asciiTheme="majorHAnsi" w:hAnsiTheme="majorHAnsi" w:cs="Calibri"/>
          <w:b/>
          <w:bCs/>
          <w:color w:val="000000" w:themeColor="text1"/>
          <w:sz w:val="20"/>
          <w:szCs w:val="20"/>
        </w:rPr>
        <w:t>ANNEX ONE</w:t>
      </w:r>
      <w:r w:rsidR="00F538CE" w:rsidRPr="0046030A">
        <w:rPr>
          <w:rFonts w:asciiTheme="majorHAnsi" w:hAnsiTheme="majorHAnsi" w:cs="Calibri"/>
          <w:b/>
          <w:bCs/>
          <w:color w:val="000000" w:themeColor="text1"/>
          <w:sz w:val="20"/>
          <w:szCs w:val="20"/>
        </w:rPr>
        <w:t>.</w:t>
      </w:r>
    </w:p>
    <w:p w14:paraId="7F3985D0" w14:textId="77777777" w:rsidR="00F538CE" w:rsidRPr="0046030A" w:rsidRDefault="00F538CE" w:rsidP="00F538CE">
      <w:pPr>
        <w:ind w:left="709" w:right="713"/>
        <w:jc w:val="both"/>
        <w:rPr>
          <w:rFonts w:asciiTheme="majorHAnsi" w:hAnsiTheme="majorHAnsi" w:cs="Calibri"/>
          <w:b/>
          <w:bCs/>
          <w:color w:val="000000" w:themeColor="text1"/>
          <w:sz w:val="20"/>
          <w:szCs w:val="20"/>
        </w:rPr>
      </w:pPr>
    </w:p>
    <w:p w14:paraId="6CB93EC9" w14:textId="77777777" w:rsidR="000B01F2" w:rsidRPr="0046030A" w:rsidRDefault="000B01F2" w:rsidP="000B01F2">
      <w:pPr>
        <w:ind w:left="709" w:right="713"/>
        <w:jc w:val="both"/>
        <w:rPr>
          <w:rFonts w:asciiTheme="majorHAnsi" w:hAnsiTheme="majorHAnsi" w:cs="Calibri"/>
          <w:color w:val="000000" w:themeColor="text1"/>
          <w:sz w:val="20"/>
          <w:szCs w:val="20"/>
        </w:rPr>
      </w:pPr>
      <w:r w:rsidRPr="0046030A">
        <w:rPr>
          <w:rFonts w:asciiTheme="majorHAnsi" w:hAnsiTheme="majorHAnsi" w:cs="Calibri"/>
          <w:color w:val="000000" w:themeColor="text1"/>
          <w:sz w:val="20"/>
          <w:szCs w:val="20"/>
        </w:rPr>
        <w:t>The representation of the Government of Mexico during the procedure will be in charge of the Ministry of Foreign Affairs and the implementation and fulfillment of the agreements will be the responsibility of the authorities of the Ministry itself and of the Government of the State of Oaxaca, whose representatives are empowered to sign this Agreement.</w:t>
      </w:r>
    </w:p>
    <w:p w14:paraId="19AA915E" w14:textId="77777777" w:rsidR="000B01F2" w:rsidRDefault="000B01F2" w:rsidP="000B01F2">
      <w:pPr>
        <w:ind w:left="709" w:right="713"/>
        <w:jc w:val="both"/>
        <w:rPr>
          <w:rFonts w:asciiTheme="majorHAnsi" w:hAnsiTheme="majorHAnsi" w:cs="Calibri"/>
          <w:color w:val="000000" w:themeColor="text1"/>
          <w:sz w:val="20"/>
          <w:szCs w:val="20"/>
        </w:rPr>
      </w:pPr>
    </w:p>
    <w:p w14:paraId="3F4AB619" w14:textId="77777777" w:rsidR="00B17239" w:rsidRDefault="00B17239" w:rsidP="000B01F2">
      <w:pPr>
        <w:ind w:left="709" w:right="713"/>
        <w:jc w:val="both"/>
        <w:rPr>
          <w:rFonts w:asciiTheme="majorHAnsi" w:hAnsiTheme="majorHAnsi" w:cs="Calibri"/>
          <w:color w:val="000000" w:themeColor="text1"/>
          <w:sz w:val="20"/>
          <w:szCs w:val="20"/>
        </w:rPr>
      </w:pPr>
    </w:p>
    <w:p w14:paraId="07B7D0F9" w14:textId="77777777" w:rsidR="00B17239" w:rsidRDefault="00B17239" w:rsidP="000B01F2">
      <w:pPr>
        <w:ind w:left="709" w:right="713"/>
        <w:jc w:val="both"/>
        <w:rPr>
          <w:rFonts w:asciiTheme="majorHAnsi" w:hAnsiTheme="majorHAnsi" w:cs="Calibri"/>
          <w:color w:val="000000" w:themeColor="text1"/>
          <w:sz w:val="20"/>
          <w:szCs w:val="20"/>
        </w:rPr>
      </w:pPr>
    </w:p>
    <w:p w14:paraId="5FBB0672" w14:textId="77777777" w:rsidR="00B17239" w:rsidRDefault="00B17239" w:rsidP="000B01F2">
      <w:pPr>
        <w:ind w:left="709" w:right="713"/>
        <w:jc w:val="both"/>
        <w:rPr>
          <w:rFonts w:asciiTheme="majorHAnsi" w:hAnsiTheme="majorHAnsi" w:cs="Calibri"/>
          <w:color w:val="000000" w:themeColor="text1"/>
          <w:sz w:val="20"/>
          <w:szCs w:val="20"/>
        </w:rPr>
      </w:pPr>
    </w:p>
    <w:p w14:paraId="22C0BE38" w14:textId="77777777" w:rsidR="00B17239" w:rsidRPr="0046030A" w:rsidRDefault="00B17239" w:rsidP="000B01F2">
      <w:pPr>
        <w:ind w:left="709" w:right="713"/>
        <w:jc w:val="both"/>
        <w:rPr>
          <w:rFonts w:asciiTheme="majorHAnsi" w:hAnsiTheme="majorHAnsi" w:cs="Calibri"/>
          <w:color w:val="000000" w:themeColor="text1"/>
          <w:sz w:val="20"/>
          <w:szCs w:val="20"/>
        </w:rPr>
      </w:pPr>
    </w:p>
    <w:p w14:paraId="4CAEA700" w14:textId="3F978FCD" w:rsidR="00F538CE" w:rsidRPr="0046030A" w:rsidRDefault="000B01F2" w:rsidP="000B01F2">
      <w:pPr>
        <w:ind w:left="709" w:right="713"/>
        <w:jc w:val="both"/>
        <w:rPr>
          <w:rFonts w:asciiTheme="majorHAnsi" w:hAnsiTheme="majorHAnsi" w:cs="Calibri"/>
          <w:color w:val="000000" w:themeColor="text1"/>
          <w:sz w:val="20"/>
          <w:szCs w:val="20"/>
        </w:rPr>
      </w:pPr>
      <w:r w:rsidRPr="0046030A">
        <w:rPr>
          <w:rFonts w:asciiTheme="majorHAnsi" w:hAnsiTheme="majorHAnsi" w:cs="Calibri"/>
          <w:color w:val="000000" w:themeColor="text1"/>
          <w:sz w:val="20"/>
          <w:szCs w:val="20"/>
        </w:rPr>
        <w:lastRenderedPageBreak/>
        <w:t>The parties subject this Agreement to the following guidelines</w:t>
      </w:r>
      <w:r w:rsidR="00F538CE" w:rsidRPr="0046030A">
        <w:rPr>
          <w:rFonts w:asciiTheme="majorHAnsi" w:hAnsiTheme="majorHAnsi" w:cs="Calibri"/>
          <w:color w:val="000000" w:themeColor="text1"/>
          <w:sz w:val="20"/>
          <w:szCs w:val="20"/>
        </w:rPr>
        <w:t>:</w:t>
      </w:r>
    </w:p>
    <w:p w14:paraId="56F9B884" w14:textId="6F3340E9" w:rsidR="00B17239" w:rsidRDefault="00B17239" w:rsidP="00F538CE">
      <w:pPr>
        <w:ind w:left="709" w:right="713"/>
        <w:jc w:val="both"/>
        <w:rPr>
          <w:rFonts w:asciiTheme="majorHAnsi" w:hAnsiTheme="majorHAnsi" w:cs="Calibri"/>
          <w:b/>
          <w:bCs/>
          <w:color w:val="000000" w:themeColor="text1"/>
          <w:sz w:val="20"/>
          <w:szCs w:val="20"/>
        </w:rPr>
      </w:pPr>
    </w:p>
    <w:p w14:paraId="14BF51B2" w14:textId="30B626C2" w:rsidR="00F538CE" w:rsidRPr="0046030A" w:rsidRDefault="00EC1067" w:rsidP="00F538CE">
      <w:pPr>
        <w:ind w:left="709" w:right="713"/>
        <w:jc w:val="both"/>
        <w:rPr>
          <w:rFonts w:asciiTheme="majorHAnsi" w:hAnsiTheme="majorHAnsi" w:cs="Calibri"/>
          <w:b/>
          <w:bCs/>
          <w:color w:val="000000" w:themeColor="text1"/>
          <w:sz w:val="20"/>
          <w:szCs w:val="20"/>
        </w:rPr>
      </w:pPr>
      <w:r w:rsidRPr="0046030A">
        <w:rPr>
          <w:rFonts w:asciiTheme="majorHAnsi" w:hAnsiTheme="majorHAnsi" w:cs="Calibri"/>
          <w:b/>
          <w:bCs/>
          <w:color w:val="000000" w:themeColor="text1"/>
          <w:sz w:val="20"/>
          <w:szCs w:val="20"/>
        </w:rPr>
        <w:t>FIRST. WILLINGNESS OF THE PARTIES</w:t>
      </w:r>
      <w:r w:rsidR="00F538CE" w:rsidRPr="0046030A">
        <w:rPr>
          <w:rFonts w:asciiTheme="majorHAnsi" w:hAnsiTheme="majorHAnsi" w:cs="Calibri"/>
          <w:b/>
          <w:bCs/>
          <w:color w:val="000000" w:themeColor="text1"/>
          <w:sz w:val="20"/>
          <w:szCs w:val="20"/>
        </w:rPr>
        <w:t>.</w:t>
      </w:r>
    </w:p>
    <w:p w14:paraId="0AADE186" w14:textId="77777777" w:rsidR="00F538CE" w:rsidRPr="0046030A" w:rsidRDefault="00F538CE" w:rsidP="00F538CE">
      <w:pPr>
        <w:ind w:left="709" w:right="713"/>
        <w:jc w:val="both"/>
        <w:rPr>
          <w:rFonts w:asciiTheme="majorHAnsi" w:hAnsiTheme="majorHAnsi" w:cs="Calibri"/>
          <w:b/>
          <w:bCs/>
          <w:color w:val="000000" w:themeColor="text1"/>
          <w:sz w:val="20"/>
          <w:szCs w:val="20"/>
        </w:rPr>
      </w:pPr>
    </w:p>
    <w:p w14:paraId="4BB18C93" w14:textId="51379C88" w:rsidR="00F538CE" w:rsidRPr="0046030A" w:rsidRDefault="003A2C10" w:rsidP="00F538CE">
      <w:pPr>
        <w:ind w:left="709" w:right="713"/>
        <w:jc w:val="both"/>
        <w:rPr>
          <w:rFonts w:asciiTheme="majorHAnsi" w:hAnsiTheme="majorHAnsi" w:cs="Calibri"/>
          <w:color w:val="000000" w:themeColor="text1"/>
          <w:sz w:val="20"/>
          <w:szCs w:val="20"/>
        </w:rPr>
      </w:pPr>
      <w:r w:rsidRPr="0046030A">
        <w:rPr>
          <w:rFonts w:asciiTheme="majorHAnsi" w:hAnsiTheme="majorHAnsi" w:cs="Calibri"/>
          <w:color w:val="000000" w:themeColor="text1"/>
          <w:sz w:val="20"/>
          <w:szCs w:val="20"/>
        </w:rPr>
        <w:t>The parties express their willingness to resolve the present case through the friendly settlement procedure provided for in Article 48.1.f. of the American Convention on Human Rights and Article 41 of the Rules of Procedure of the Inter-American Commission on Human Rights</w:t>
      </w:r>
      <w:r w:rsidR="00F538CE" w:rsidRPr="0046030A">
        <w:rPr>
          <w:rFonts w:asciiTheme="majorHAnsi" w:hAnsiTheme="majorHAnsi" w:cs="Calibri"/>
          <w:color w:val="000000" w:themeColor="text1"/>
          <w:sz w:val="20"/>
          <w:szCs w:val="20"/>
        </w:rPr>
        <w:t>.</w:t>
      </w:r>
    </w:p>
    <w:p w14:paraId="756AB466" w14:textId="77777777" w:rsidR="00F538CE" w:rsidRPr="0046030A" w:rsidRDefault="00F538CE" w:rsidP="00F538CE">
      <w:pPr>
        <w:ind w:left="709" w:right="713"/>
        <w:jc w:val="both"/>
        <w:rPr>
          <w:rFonts w:asciiTheme="majorHAnsi" w:hAnsiTheme="majorHAnsi" w:cs="Calibri"/>
          <w:b/>
          <w:bCs/>
          <w:color w:val="000000" w:themeColor="text1"/>
          <w:sz w:val="20"/>
          <w:szCs w:val="20"/>
        </w:rPr>
      </w:pPr>
    </w:p>
    <w:p w14:paraId="19979475" w14:textId="23492147" w:rsidR="00F538CE" w:rsidRPr="0046030A" w:rsidRDefault="00EC1067" w:rsidP="00F538CE">
      <w:pPr>
        <w:ind w:left="709" w:right="713"/>
        <w:jc w:val="both"/>
        <w:rPr>
          <w:rFonts w:asciiTheme="majorHAnsi" w:hAnsiTheme="majorHAnsi" w:cs="Calibri"/>
          <w:b/>
          <w:bCs/>
          <w:color w:val="000000" w:themeColor="text1"/>
          <w:sz w:val="20"/>
          <w:szCs w:val="20"/>
        </w:rPr>
      </w:pPr>
      <w:r w:rsidRPr="0046030A">
        <w:rPr>
          <w:rFonts w:asciiTheme="majorHAnsi" w:hAnsiTheme="majorHAnsi" w:cs="Calibri"/>
          <w:b/>
          <w:bCs/>
          <w:color w:val="000000" w:themeColor="text1"/>
          <w:sz w:val="20"/>
          <w:szCs w:val="20"/>
        </w:rPr>
        <w:t>SECOND. INVESTIGATION OF THE FACTS</w:t>
      </w:r>
      <w:r w:rsidR="00F538CE" w:rsidRPr="0046030A">
        <w:rPr>
          <w:rFonts w:asciiTheme="majorHAnsi" w:hAnsiTheme="majorHAnsi" w:cs="Calibri"/>
          <w:b/>
          <w:bCs/>
          <w:color w:val="000000" w:themeColor="text1"/>
          <w:sz w:val="20"/>
          <w:szCs w:val="20"/>
        </w:rPr>
        <w:t>.</w:t>
      </w:r>
    </w:p>
    <w:p w14:paraId="67271974" w14:textId="77777777" w:rsidR="00F538CE" w:rsidRPr="0046030A" w:rsidRDefault="00F538CE" w:rsidP="00F538CE">
      <w:pPr>
        <w:ind w:left="709" w:right="713"/>
        <w:jc w:val="both"/>
        <w:rPr>
          <w:rFonts w:asciiTheme="majorHAnsi" w:hAnsiTheme="majorHAnsi" w:cs="Calibri"/>
          <w:b/>
          <w:bCs/>
          <w:color w:val="000000" w:themeColor="text1"/>
          <w:sz w:val="20"/>
          <w:szCs w:val="20"/>
        </w:rPr>
      </w:pPr>
    </w:p>
    <w:p w14:paraId="620865E2" w14:textId="4532CDE7" w:rsidR="00F538CE" w:rsidRPr="0046030A" w:rsidRDefault="003A2C10" w:rsidP="00F538CE">
      <w:pPr>
        <w:ind w:left="709" w:right="713"/>
        <w:jc w:val="both"/>
        <w:rPr>
          <w:rFonts w:asciiTheme="majorHAnsi" w:hAnsiTheme="majorHAnsi" w:cs="Calibri"/>
          <w:color w:val="000000" w:themeColor="text1"/>
          <w:sz w:val="20"/>
          <w:szCs w:val="20"/>
        </w:rPr>
      </w:pPr>
      <w:r w:rsidRPr="0046030A">
        <w:rPr>
          <w:rFonts w:asciiTheme="majorHAnsi" w:hAnsiTheme="majorHAnsi" w:cs="Calibri"/>
          <w:color w:val="000000" w:themeColor="text1"/>
          <w:sz w:val="20"/>
          <w:szCs w:val="20"/>
        </w:rPr>
        <w:t xml:space="preserve">The commitments of </w:t>
      </w:r>
      <w:r w:rsidRPr="0046030A">
        <w:rPr>
          <w:rFonts w:asciiTheme="majorHAnsi" w:hAnsiTheme="majorHAnsi" w:cs="Calibri"/>
          <w:b/>
          <w:bCs/>
          <w:color w:val="000000" w:themeColor="text1"/>
          <w:sz w:val="20"/>
          <w:szCs w:val="20"/>
        </w:rPr>
        <w:t>"THE STATE"</w:t>
      </w:r>
      <w:r w:rsidRPr="0046030A">
        <w:rPr>
          <w:rFonts w:asciiTheme="majorHAnsi" w:hAnsiTheme="majorHAnsi" w:cs="Calibri"/>
          <w:color w:val="000000" w:themeColor="text1"/>
          <w:sz w:val="20"/>
          <w:szCs w:val="20"/>
        </w:rPr>
        <w:t xml:space="preserve"> with respect to this matter are as follows</w:t>
      </w:r>
      <w:r w:rsidR="00F538CE" w:rsidRPr="0046030A">
        <w:rPr>
          <w:rFonts w:asciiTheme="majorHAnsi" w:hAnsiTheme="majorHAnsi" w:cs="Calibri"/>
          <w:color w:val="000000" w:themeColor="text1"/>
          <w:sz w:val="20"/>
          <w:szCs w:val="20"/>
        </w:rPr>
        <w:t>:</w:t>
      </w:r>
    </w:p>
    <w:p w14:paraId="77397AC5" w14:textId="77777777" w:rsidR="00F538CE" w:rsidRPr="0046030A" w:rsidRDefault="00F538CE" w:rsidP="00F538CE">
      <w:pPr>
        <w:ind w:right="713"/>
        <w:jc w:val="both"/>
        <w:rPr>
          <w:rFonts w:asciiTheme="majorHAnsi" w:hAnsiTheme="majorHAnsi" w:cs="Calibri"/>
          <w:color w:val="000000" w:themeColor="text1"/>
          <w:sz w:val="20"/>
          <w:szCs w:val="20"/>
        </w:rPr>
      </w:pPr>
    </w:p>
    <w:p w14:paraId="7327D871" w14:textId="15AF6CCF" w:rsidR="00F538CE" w:rsidRPr="0046030A" w:rsidRDefault="003A2C10" w:rsidP="00F538CE">
      <w:pPr>
        <w:pStyle w:val="ListParagraph"/>
        <w:numPr>
          <w:ilvl w:val="0"/>
          <w:numId w:val="109"/>
        </w:numPr>
        <w:ind w:left="720" w:right="720" w:firstLine="0"/>
        <w:jc w:val="both"/>
        <w:rPr>
          <w:rFonts w:asciiTheme="majorHAnsi" w:hAnsiTheme="majorHAnsi" w:cs="Calibri"/>
          <w:b/>
          <w:bCs/>
          <w:color w:val="000000" w:themeColor="text1"/>
          <w:sz w:val="20"/>
          <w:szCs w:val="20"/>
        </w:rPr>
      </w:pPr>
      <w:r w:rsidRPr="0046030A">
        <w:rPr>
          <w:rFonts w:asciiTheme="majorHAnsi" w:hAnsiTheme="majorHAnsi" w:cs="Calibri"/>
          <w:color w:val="000000" w:themeColor="text1"/>
          <w:sz w:val="20"/>
          <w:szCs w:val="20"/>
        </w:rPr>
        <w:t>On the part of the representatives of the federal entity, the investigation must continue in order to determine what happened to Prof. Víctor Pineda Henestrosa. Said investigation shall continue to comply with the parameters of seriousness, impartiality and effectiveness in force in the Inter-American System for the Protection of Human Rights</w:t>
      </w:r>
      <w:r w:rsidR="00F538CE" w:rsidRPr="0046030A">
        <w:rPr>
          <w:rFonts w:asciiTheme="majorHAnsi" w:hAnsiTheme="majorHAnsi" w:cs="Calibri"/>
          <w:color w:val="000000" w:themeColor="text1"/>
          <w:sz w:val="20"/>
          <w:szCs w:val="20"/>
        </w:rPr>
        <w:t>.</w:t>
      </w:r>
    </w:p>
    <w:p w14:paraId="5AA75113" w14:textId="77777777" w:rsidR="00F538CE" w:rsidRPr="0046030A" w:rsidRDefault="00F538CE" w:rsidP="00F538CE">
      <w:pPr>
        <w:pStyle w:val="ListParagraph"/>
        <w:ind w:right="720"/>
        <w:jc w:val="both"/>
        <w:rPr>
          <w:rFonts w:asciiTheme="majorHAnsi" w:hAnsiTheme="majorHAnsi" w:cs="Calibri"/>
          <w:b/>
          <w:bCs/>
          <w:color w:val="000000" w:themeColor="text1"/>
          <w:sz w:val="20"/>
          <w:szCs w:val="20"/>
        </w:rPr>
      </w:pPr>
    </w:p>
    <w:p w14:paraId="5FDE20A4" w14:textId="5599E846" w:rsidR="00F538CE" w:rsidRPr="0046030A" w:rsidRDefault="003A2C10" w:rsidP="00F538CE">
      <w:pPr>
        <w:pStyle w:val="ListParagraph"/>
        <w:numPr>
          <w:ilvl w:val="0"/>
          <w:numId w:val="109"/>
        </w:numPr>
        <w:ind w:left="720" w:right="720" w:firstLine="0"/>
        <w:jc w:val="both"/>
        <w:rPr>
          <w:rFonts w:asciiTheme="majorHAnsi" w:hAnsiTheme="majorHAnsi" w:cs="Calibri"/>
          <w:b/>
          <w:bCs/>
          <w:color w:val="000000" w:themeColor="text1"/>
          <w:sz w:val="20"/>
          <w:szCs w:val="20"/>
        </w:rPr>
      </w:pPr>
      <w:r w:rsidRPr="0046030A">
        <w:rPr>
          <w:rFonts w:asciiTheme="majorHAnsi" w:hAnsiTheme="majorHAnsi" w:cs="Calibri"/>
          <w:color w:val="000000" w:themeColor="text1"/>
          <w:sz w:val="20"/>
          <w:szCs w:val="20"/>
        </w:rPr>
        <w:t>Should the investigation yield sufficient evidence, the representatives of the Federal Entity undertake to submit to criminal proceedings and, if appropriate, to punish the person or persons responsible for the facts and also those public servants who have committed crimes against the administration of justice</w:t>
      </w:r>
      <w:r w:rsidR="00F538CE" w:rsidRPr="0046030A">
        <w:rPr>
          <w:rFonts w:asciiTheme="majorHAnsi" w:hAnsiTheme="majorHAnsi" w:cs="Calibri"/>
          <w:color w:val="000000" w:themeColor="text1"/>
          <w:sz w:val="20"/>
          <w:szCs w:val="20"/>
        </w:rPr>
        <w:t>.</w:t>
      </w:r>
    </w:p>
    <w:p w14:paraId="67970C24" w14:textId="77777777" w:rsidR="00F538CE" w:rsidRPr="0046030A" w:rsidRDefault="00F538CE" w:rsidP="00F538CE">
      <w:pPr>
        <w:pStyle w:val="ListParagraph"/>
        <w:rPr>
          <w:rFonts w:asciiTheme="majorHAnsi" w:hAnsiTheme="majorHAnsi" w:cs="Calibri"/>
          <w:b/>
          <w:bCs/>
          <w:color w:val="000000" w:themeColor="text1"/>
          <w:sz w:val="20"/>
          <w:szCs w:val="20"/>
        </w:rPr>
      </w:pPr>
    </w:p>
    <w:p w14:paraId="28B9B5BE" w14:textId="10C13248" w:rsidR="00F538CE" w:rsidRPr="0046030A" w:rsidRDefault="003A2C10" w:rsidP="00F538CE">
      <w:pPr>
        <w:pStyle w:val="ListParagraph"/>
        <w:numPr>
          <w:ilvl w:val="0"/>
          <w:numId w:val="109"/>
        </w:numPr>
        <w:ind w:left="720" w:right="720" w:firstLine="0"/>
        <w:jc w:val="both"/>
        <w:rPr>
          <w:rFonts w:asciiTheme="majorHAnsi" w:hAnsiTheme="majorHAnsi" w:cs="Calibri"/>
          <w:b/>
          <w:bCs/>
          <w:color w:val="000000" w:themeColor="text1"/>
          <w:sz w:val="20"/>
          <w:szCs w:val="20"/>
        </w:rPr>
      </w:pPr>
      <w:r w:rsidRPr="0046030A">
        <w:rPr>
          <w:rFonts w:asciiTheme="majorHAnsi" w:hAnsiTheme="majorHAnsi" w:cs="Calibri"/>
          <w:color w:val="000000" w:themeColor="text1"/>
          <w:sz w:val="20"/>
          <w:szCs w:val="20"/>
        </w:rPr>
        <w:t>To enable the realization of new expert criminological studies with more advanced technological equipment available in institutions or laboratories abroad, mainly those necessary to determine whether the skeletal remains found during the investigation belong to the person of Professor Víctor Pineda Henestrosa</w:t>
      </w:r>
      <w:r w:rsidR="00F538CE" w:rsidRPr="0046030A">
        <w:rPr>
          <w:rFonts w:asciiTheme="majorHAnsi" w:hAnsiTheme="majorHAnsi" w:cs="Calibri"/>
          <w:color w:val="000000" w:themeColor="text1"/>
          <w:sz w:val="20"/>
          <w:szCs w:val="20"/>
        </w:rPr>
        <w:t>.</w:t>
      </w:r>
    </w:p>
    <w:p w14:paraId="777E0CBE" w14:textId="77777777" w:rsidR="00F538CE" w:rsidRPr="0046030A" w:rsidRDefault="00F538CE" w:rsidP="00F538CE">
      <w:pPr>
        <w:pStyle w:val="ListParagraph"/>
        <w:rPr>
          <w:rFonts w:asciiTheme="majorHAnsi" w:hAnsiTheme="majorHAnsi" w:cs="Calibri"/>
          <w:b/>
          <w:bCs/>
          <w:color w:val="000000" w:themeColor="text1"/>
          <w:sz w:val="20"/>
          <w:szCs w:val="20"/>
        </w:rPr>
      </w:pPr>
    </w:p>
    <w:p w14:paraId="39BBC33E" w14:textId="0695ABB3" w:rsidR="00F538CE" w:rsidRPr="0046030A" w:rsidRDefault="00EC1067" w:rsidP="00F538CE">
      <w:pPr>
        <w:ind w:left="709" w:right="720"/>
        <w:jc w:val="both"/>
        <w:rPr>
          <w:rFonts w:asciiTheme="majorHAnsi" w:hAnsiTheme="majorHAnsi" w:cs="Calibri"/>
          <w:b/>
          <w:bCs/>
          <w:color w:val="000000" w:themeColor="text1"/>
          <w:sz w:val="20"/>
          <w:szCs w:val="20"/>
        </w:rPr>
      </w:pPr>
      <w:r w:rsidRPr="0046030A">
        <w:rPr>
          <w:rFonts w:asciiTheme="majorHAnsi" w:hAnsiTheme="majorHAnsi" w:cs="Calibri"/>
          <w:b/>
          <w:bCs/>
          <w:color w:val="000000" w:themeColor="text1"/>
          <w:sz w:val="20"/>
          <w:szCs w:val="20"/>
        </w:rPr>
        <w:t>THIRD. SUPPORTS TO BE PROVIDED BY "THE STATE</w:t>
      </w:r>
      <w:r w:rsidR="00F538CE" w:rsidRPr="0046030A">
        <w:rPr>
          <w:rFonts w:asciiTheme="majorHAnsi" w:hAnsiTheme="majorHAnsi" w:cs="Calibri"/>
          <w:b/>
          <w:bCs/>
          <w:color w:val="000000" w:themeColor="text1"/>
          <w:sz w:val="20"/>
          <w:szCs w:val="20"/>
        </w:rPr>
        <w:t>.</w:t>
      </w:r>
    </w:p>
    <w:p w14:paraId="733E02DA" w14:textId="77777777" w:rsidR="00F538CE" w:rsidRPr="0046030A" w:rsidRDefault="00F538CE" w:rsidP="00F538CE">
      <w:pPr>
        <w:ind w:left="709" w:right="720"/>
        <w:jc w:val="both"/>
        <w:rPr>
          <w:rFonts w:asciiTheme="majorHAnsi" w:hAnsiTheme="majorHAnsi" w:cs="Calibri"/>
          <w:b/>
          <w:bCs/>
          <w:color w:val="000000" w:themeColor="text1"/>
          <w:sz w:val="20"/>
          <w:szCs w:val="20"/>
        </w:rPr>
      </w:pPr>
    </w:p>
    <w:p w14:paraId="2D006387" w14:textId="78A57BB2" w:rsidR="00F538CE" w:rsidRPr="0046030A" w:rsidRDefault="00882DBE" w:rsidP="00F538CE">
      <w:pPr>
        <w:pStyle w:val="ListParagraph"/>
        <w:numPr>
          <w:ilvl w:val="0"/>
          <w:numId w:val="110"/>
        </w:numPr>
        <w:ind w:right="720"/>
        <w:jc w:val="both"/>
        <w:rPr>
          <w:rFonts w:asciiTheme="majorHAnsi" w:hAnsiTheme="majorHAnsi" w:cs="Calibri"/>
          <w:b/>
          <w:bCs/>
          <w:color w:val="000000" w:themeColor="text1"/>
          <w:sz w:val="20"/>
          <w:szCs w:val="20"/>
          <w:lang w:val="es-ES"/>
        </w:rPr>
      </w:pPr>
      <w:r w:rsidRPr="0046030A">
        <w:rPr>
          <w:rFonts w:asciiTheme="majorHAnsi" w:hAnsiTheme="majorHAnsi" w:cs="Calibri"/>
          <w:b/>
          <w:bCs/>
          <w:color w:val="000000" w:themeColor="text1"/>
          <w:sz w:val="20"/>
          <w:szCs w:val="20"/>
          <w:lang w:val="es-ES"/>
        </w:rPr>
        <w:t>ECONOMIC SUPPORT</w:t>
      </w:r>
      <w:r w:rsidR="00F538CE" w:rsidRPr="0046030A">
        <w:rPr>
          <w:rFonts w:asciiTheme="majorHAnsi" w:hAnsiTheme="majorHAnsi" w:cs="Calibri"/>
          <w:b/>
          <w:bCs/>
          <w:color w:val="000000" w:themeColor="text1"/>
          <w:sz w:val="20"/>
          <w:szCs w:val="20"/>
          <w:lang w:val="es-ES"/>
        </w:rPr>
        <w:t>.</w:t>
      </w:r>
    </w:p>
    <w:p w14:paraId="02F6EF1D" w14:textId="77777777" w:rsidR="00F538CE" w:rsidRPr="0046030A" w:rsidRDefault="00F538CE" w:rsidP="00F538CE">
      <w:pPr>
        <w:pStyle w:val="ListParagraph"/>
        <w:ind w:left="1069" w:right="720"/>
        <w:jc w:val="both"/>
        <w:rPr>
          <w:rFonts w:asciiTheme="majorHAnsi" w:hAnsiTheme="majorHAnsi" w:cs="Calibri"/>
          <w:b/>
          <w:bCs/>
          <w:color w:val="000000" w:themeColor="text1"/>
          <w:sz w:val="20"/>
          <w:szCs w:val="20"/>
          <w:lang w:val="es-ES"/>
        </w:rPr>
      </w:pPr>
    </w:p>
    <w:p w14:paraId="563FE06F" w14:textId="2CBA61E8" w:rsidR="00F538CE" w:rsidRPr="0046030A" w:rsidRDefault="000D16DA" w:rsidP="00F538CE">
      <w:pPr>
        <w:pStyle w:val="ListParagraph"/>
        <w:ind w:right="720"/>
        <w:jc w:val="both"/>
        <w:rPr>
          <w:rFonts w:asciiTheme="majorHAnsi" w:hAnsiTheme="majorHAnsi" w:cs="Calibri"/>
          <w:b/>
          <w:bCs/>
          <w:color w:val="000000" w:themeColor="text1"/>
          <w:sz w:val="20"/>
          <w:szCs w:val="20"/>
        </w:rPr>
      </w:pPr>
      <w:r w:rsidRPr="0046030A">
        <w:rPr>
          <w:rFonts w:asciiTheme="majorHAnsi" w:hAnsiTheme="majorHAnsi" w:cs="Calibri"/>
          <w:color w:val="000000" w:themeColor="text1"/>
          <w:sz w:val="20"/>
          <w:szCs w:val="20"/>
        </w:rPr>
        <w:t xml:space="preserve">Considering that in the present case to date there are no legal elements to prove the participation of elements or public servants of </w:t>
      </w:r>
      <w:r w:rsidRPr="0046030A">
        <w:rPr>
          <w:rFonts w:asciiTheme="majorHAnsi" w:hAnsiTheme="majorHAnsi" w:cs="Calibri"/>
          <w:b/>
          <w:bCs/>
          <w:color w:val="000000" w:themeColor="text1"/>
          <w:sz w:val="20"/>
          <w:szCs w:val="20"/>
        </w:rPr>
        <w:t>"T</w:t>
      </w:r>
      <w:r w:rsidR="00882DBE" w:rsidRPr="0046030A">
        <w:rPr>
          <w:rFonts w:asciiTheme="majorHAnsi" w:hAnsiTheme="majorHAnsi" w:cs="Calibri"/>
          <w:b/>
          <w:bCs/>
          <w:color w:val="000000" w:themeColor="text1"/>
          <w:sz w:val="20"/>
          <w:szCs w:val="20"/>
        </w:rPr>
        <w:t>HE</w:t>
      </w:r>
      <w:r w:rsidRPr="0046030A">
        <w:rPr>
          <w:rFonts w:asciiTheme="majorHAnsi" w:hAnsiTheme="majorHAnsi" w:cs="Calibri"/>
          <w:b/>
          <w:bCs/>
          <w:color w:val="000000" w:themeColor="text1"/>
          <w:sz w:val="20"/>
          <w:szCs w:val="20"/>
        </w:rPr>
        <w:t xml:space="preserve"> STATE"</w:t>
      </w:r>
      <w:r w:rsidRPr="0046030A">
        <w:rPr>
          <w:rFonts w:asciiTheme="majorHAnsi" w:hAnsiTheme="majorHAnsi" w:cs="Calibri"/>
          <w:color w:val="000000" w:themeColor="text1"/>
          <w:sz w:val="20"/>
          <w:szCs w:val="20"/>
        </w:rPr>
        <w:t xml:space="preserve"> in the disappearance of Professor Víctor Pineda Henestrosa, although the petitioners have held in their complaint that elements of the Mexican Army are probably responsible, the Government of Oaxaca offers, without this implying an express or tacit acknowledgement of responsibility, as economic support to the family of the disappeared Professor, the purchase of construction material, furniture and equipment up to an amount of $ 250,000. 00 (TWO HUNDRED AND FIFTY THOUSAND PESOS 00/100 M.N.)</w:t>
      </w:r>
      <w:r w:rsidR="00F538CE" w:rsidRPr="0046030A">
        <w:rPr>
          <w:rFonts w:asciiTheme="majorHAnsi" w:hAnsiTheme="majorHAnsi" w:cs="Calibri"/>
          <w:color w:val="000000" w:themeColor="text1"/>
          <w:sz w:val="20"/>
          <w:szCs w:val="20"/>
        </w:rPr>
        <w:t xml:space="preserve">, </w:t>
      </w:r>
      <w:r w:rsidRPr="0046030A">
        <w:rPr>
          <w:rFonts w:asciiTheme="majorHAnsi" w:hAnsiTheme="majorHAnsi" w:cs="Calibri"/>
          <w:color w:val="000000" w:themeColor="text1"/>
          <w:sz w:val="20"/>
          <w:szCs w:val="20"/>
        </w:rPr>
        <w:t>destined to the popular library called "Víctor Yodo"</w:t>
      </w:r>
      <w:r w:rsidR="00583125" w:rsidRPr="0046030A">
        <w:rPr>
          <w:rFonts w:asciiTheme="majorHAnsi" w:hAnsiTheme="majorHAnsi" w:cs="Calibri"/>
          <w:color w:val="000000" w:themeColor="text1"/>
          <w:sz w:val="20"/>
          <w:szCs w:val="20"/>
        </w:rPr>
        <w:t>. This library is</w:t>
      </w:r>
      <w:r w:rsidRPr="0046030A">
        <w:rPr>
          <w:rFonts w:asciiTheme="majorHAnsi" w:hAnsiTheme="majorHAnsi" w:cs="Calibri"/>
          <w:color w:val="000000" w:themeColor="text1"/>
          <w:sz w:val="20"/>
          <w:szCs w:val="20"/>
        </w:rPr>
        <w:t xml:space="preserve"> located in Libertad Street almost on the corner with Insurgentes, Seventh Section in the City of Juchitán de Zaragoza, Oaxaca, according to the designation made by the </w:t>
      </w:r>
      <w:r w:rsidRPr="0046030A">
        <w:rPr>
          <w:rFonts w:asciiTheme="majorHAnsi" w:hAnsiTheme="majorHAnsi" w:cs="Calibri"/>
          <w:b/>
          <w:bCs/>
          <w:color w:val="000000" w:themeColor="text1"/>
          <w:sz w:val="20"/>
          <w:szCs w:val="20"/>
        </w:rPr>
        <w:t>"PETITIONERS"</w:t>
      </w:r>
      <w:r w:rsidRPr="0046030A">
        <w:rPr>
          <w:rFonts w:asciiTheme="majorHAnsi" w:hAnsiTheme="majorHAnsi" w:cs="Calibri"/>
          <w:color w:val="000000" w:themeColor="text1"/>
          <w:sz w:val="20"/>
          <w:szCs w:val="20"/>
        </w:rPr>
        <w:t xml:space="preserve"> and specifically to the request formulated in that sense, by Prof. Cándida Santiago Jiménez, in writing dated May 23 and received on May 27 of the current year, in the General Coordination of Human Rights of the Executive Branch, which is constituent part of this Agreement as </w:t>
      </w:r>
      <w:r w:rsidRPr="0046030A">
        <w:rPr>
          <w:rFonts w:asciiTheme="majorHAnsi" w:hAnsiTheme="majorHAnsi" w:cs="Calibri"/>
          <w:b/>
          <w:bCs/>
          <w:color w:val="000000" w:themeColor="text1"/>
          <w:sz w:val="20"/>
          <w:szCs w:val="20"/>
        </w:rPr>
        <w:t>ANNEX TWO</w:t>
      </w:r>
      <w:r w:rsidR="00F538CE" w:rsidRPr="0046030A">
        <w:rPr>
          <w:rFonts w:asciiTheme="majorHAnsi" w:hAnsiTheme="majorHAnsi" w:cs="Calibri"/>
          <w:b/>
          <w:bCs/>
          <w:color w:val="000000" w:themeColor="text1"/>
          <w:sz w:val="20"/>
          <w:szCs w:val="20"/>
        </w:rPr>
        <w:t>.</w:t>
      </w:r>
    </w:p>
    <w:p w14:paraId="6B91E54E" w14:textId="77777777" w:rsidR="00F538CE" w:rsidRPr="0046030A" w:rsidRDefault="00F538CE" w:rsidP="00F538CE">
      <w:pPr>
        <w:pStyle w:val="ListParagraph"/>
        <w:ind w:right="720"/>
        <w:jc w:val="both"/>
        <w:rPr>
          <w:rFonts w:asciiTheme="majorHAnsi" w:hAnsiTheme="majorHAnsi" w:cs="Calibri"/>
          <w:b/>
          <w:bCs/>
          <w:color w:val="000000" w:themeColor="text1"/>
          <w:sz w:val="20"/>
          <w:szCs w:val="20"/>
        </w:rPr>
      </w:pPr>
    </w:p>
    <w:p w14:paraId="5716D027" w14:textId="0CEF733B" w:rsidR="00F538CE" w:rsidRPr="0046030A" w:rsidRDefault="000D16DA" w:rsidP="00F538CE">
      <w:pPr>
        <w:pStyle w:val="ListParagraph"/>
        <w:ind w:right="720"/>
        <w:jc w:val="both"/>
        <w:rPr>
          <w:rFonts w:asciiTheme="majorHAnsi" w:hAnsiTheme="majorHAnsi" w:cs="Calibri"/>
          <w:color w:val="000000" w:themeColor="text1"/>
          <w:sz w:val="20"/>
          <w:szCs w:val="20"/>
        </w:rPr>
      </w:pPr>
      <w:r w:rsidRPr="0046030A">
        <w:rPr>
          <w:rFonts w:asciiTheme="majorHAnsi" w:hAnsiTheme="majorHAnsi" w:cs="Calibri"/>
          <w:color w:val="000000" w:themeColor="text1"/>
          <w:sz w:val="20"/>
          <w:szCs w:val="20"/>
        </w:rPr>
        <w:t xml:space="preserve">Said construction material, furniture and equipment will be delivered by </w:t>
      </w:r>
      <w:r w:rsidRPr="0046030A">
        <w:rPr>
          <w:rFonts w:asciiTheme="majorHAnsi" w:hAnsiTheme="majorHAnsi" w:cs="Calibri"/>
          <w:b/>
          <w:bCs/>
          <w:color w:val="000000" w:themeColor="text1"/>
          <w:sz w:val="20"/>
          <w:szCs w:val="20"/>
        </w:rPr>
        <w:t>"THE STATE"</w:t>
      </w:r>
      <w:r w:rsidRPr="0046030A">
        <w:rPr>
          <w:rFonts w:asciiTheme="majorHAnsi" w:hAnsiTheme="majorHAnsi" w:cs="Calibri"/>
          <w:color w:val="000000" w:themeColor="text1"/>
          <w:sz w:val="20"/>
          <w:szCs w:val="20"/>
        </w:rPr>
        <w:t xml:space="preserve"> within two months from the date of signature of this Agreement, at the address of the </w:t>
      </w:r>
      <w:r w:rsidR="00583125" w:rsidRPr="0046030A">
        <w:rPr>
          <w:rFonts w:asciiTheme="majorHAnsi" w:hAnsiTheme="majorHAnsi" w:cs="Calibri"/>
          <w:color w:val="000000" w:themeColor="text1"/>
          <w:sz w:val="20"/>
          <w:szCs w:val="20"/>
        </w:rPr>
        <w:t>above</w:t>
      </w:r>
      <w:r w:rsidRPr="0046030A">
        <w:rPr>
          <w:rFonts w:asciiTheme="majorHAnsi" w:hAnsiTheme="majorHAnsi" w:cs="Calibri"/>
          <w:color w:val="000000" w:themeColor="text1"/>
          <w:sz w:val="20"/>
          <w:szCs w:val="20"/>
        </w:rPr>
        <w:t>mentioned library</w:t>
      </w:r>
      <w:r w:rsidR="00F538CE" w:rsidRPr="0046030A">
        <w:rPr>
          <w:rFonts w:asciiTheme="majorHAnsi" w:hAnsiTheme="majorHAnsi" w:cs="Calibri"/>
          <w:color w:val="000000" w:themeColor="text1"/>
          <w:sz w:val="20"/>
          <w:szCs w:val="20"/>
        </w:rPr>
        <w:t>.</w:t>
      </w:r>
    </w:p>
    <w:p w14:paraId="213C5AE3" w14:textId="77777777" w:rsidR="00F538CE" w:rsidRPr="0046030A" w:rsidRDefault="00F538CE" w:rsidP="00F538CE">
      <w:pPr>
        <w:pStyle w:val="ListParagraph"/>
        <w:ind w:right="720"/>
        <w:jc w:val="both"/>
        <w:rPr>
          <w:rFonts w:asciiTheme="majorHAnsi" w:hAnsiTheme="majorHAnsi" w:cs="Calibri"/>
          <w:color w:val="000000" w:themeColor="text1"/>
          <w:sz w:val="20"/>
          <w:szCs w:val="20"/>
        </w:rPr>
      </w:pPr>
    </w:p>
    <w:p w14:paraId="5633575D" w14:textId="0AAFC255" w:rsidR="0046030A" w:rsidRPr="00B672D5" w:rsidRDefault="000D16DA" w:rsidP="00B672D5">
      <w:pPr>
        <w:pStyle w:val="ListParagraph"/>
        <w:ind w:right="720"/>
        <w:jc w:val="both"/>
        <w:rPr>
          <w:rFonts w:asciiTheme="majorHAnsi" w:hAnsiTheme="majorHAnsi" w:cs="Calibri"/>
          <w:color w:val="000000" w:themeColor="text1"/>
          <w:sz w:val="20"/>
          <w:szCs w:val="20"/>
        </w:rPr>
      </w:pPr>
      <w:r w:rsidRPr="0046030A">
        <w:rPr>
          <w:rFonts w:asciiTheme="majorHAnsi" w:hAnsiTheme="majorHAnsi" w:cs="Calibri"/>
          <w:color w:val="000000" w:themeColor="text1"/>
          <w:sz w:val="20"/>
          <w:szCs w:val="20"/>
        </w:rPr>
        <w:t xml:space="preserve">The foregoing, without prejudice to the reparation that, in accordance with the criteria of the Inter-American Jurisprudence, </w:t>
      </w:r>
      <w:r w:rsidR="00882DBE" w:rsidRPr="0046030A">
        <w:rPr>
          <w:rFonts w:asciiTheme="majorHAnsi" w:hAnsiTheme="majorHAnsi" w:cs="Calibri"/>
          <w:b/>
          <w:bCs/>
          <w:color w:val="000000" w:themeColor="text1"/>
          <w:sz w:val="20"/>
          <w:szCs w:val="20"/>
        </w:rPr>
        <w:t>"THE STATE"</w:t>
      </w:r>
      <w:r w:rsidRPr="0046030A">
        <w:rPr>
          <w:rFonts w:asciiTheme="majorHAnsi" w:hAnsiTheme="majorHAnsi" w:cs="Calibri"/>
          <w:color w:val="000000" w:themeColor="text1"/>
          <w:sz w:val="20"/>
          <w:szCs w:val="20"/>
        </w:rPr>
        <w:t xml:space="preserve">should grant, if as a result of the investigations it is proven in the proceedings that elements of the State were responsible for the </w:t>
      </w:r>
      <w:r w:rsidRPr="0046030A">
        <w:rPr>
          <w:rFonts w:asciiTheme="majorHAnsi" w:hAnsiTheme="majorHAnsi" w:cs="Calibri"/>
          <w:color w:val="000000" w:themeColor="text1"/>
          <w:sz w:val="20"/>
          <w:szCs w:val="20"/>
        </w:rPr>
        <w:lastRenderedPageBreak/>
        <w:t>disappearance. In the latter case, the amount granted as economic support shall be deducted from the final amount resulting as reparation</w:t>
      </w:r>
      <w:r w:rsidR="00F538CE" w:rsidRPr="0046030A">
        <w:rPr>
          <w:rFonts w:asciiTheme="majorHAnsi" w:hAnsiTheme="majorHAnsi" w:cs="Calibri"/>
          <w:color w:val="000000" w:themeColor="text1"/>
          <w:sz w:val="20"/>
          <w:szCs w:val="20"/>
        </w:rPr>
        <w:t>.</w:t>
      </w:r>
    </w:p>
    <w:p w14:paraId="6DCCCDF3" w14:textId="77777777" w:rsidR="0046030A" w:rsidRPr="0046030A" w:rsidRDefault="0046030A" w:rsidP="00F538CE">
      <w:pPr>
        <w:pStyle w:val="ListParagraph"/>
        <w:ind w:right="720"/>
        <w:jc w:val="both"/>
        <w:rPr>
          <w:rFonts w:asciiTheme="majorHAnsi" w:hAnsiTheme="majorHAnsi" w:cs="Calibri"/>
          <w:b/>
          <w:bCs/>
          <w:color w:val="000000" w:themeColor="text1"/>
          <w:sz w:val="20"/>
          <w:szCs w:val="20"/>
        </w:rPr>
      </w:pPr>
    </w:p>
    <w:p w14:paraId="568A18F5" w14:textId="4A1CDB33" w:rsidR="00F538CE" w:rsidRPr="0046030A" w:rsidRDefault="00EC1067" w:rsidP="00F538CE">
      <w:pPr>
        <w:ind w:left="709" w:right="720"/>
        <w:jc w:val="both"/>
        <w:rPr>
          <w:rFonts w:asciiTheme="majorHAnsi" w:hAnsiTheme="majorHAnsi" w:cs="Calibri"/>
          <w:b/>
          <w:bCs/>
          <w:color w:val="000000" w:themeColor="text1"/>
          <w:sz w:val="20"/>
          <w:szCs w:val="20"/>
        </w:rPr>
      </w:pPr>
      <w:r w:rsidRPr="0046030A">
        <w:rPr>
          <w:rFonts w:asciiTheme="majorHAnsi" w:hAnsiTheme="majorHAnsi" w:cs="Calibri"/>
          <w:b/>
          <w:bCs/>
          <w:color w:val="000000" w:themeColor="text1"/>
          <w:sz w:val="20"/>
          <w:szCs w:val="20"/>
        </w:rPr>
        <w:t>FOURTH. GENERAL COMPLIANCE TERMS OF THIS AGREEMENT</w:t>
      </w:r>
      <w:r w:rsidR="00F538CE" w:rsidRPr="0046030A">
        <w:rPr>
          <w:rFonts w:asciiTheme="majorHAnsi" w:hAnsiTheme="majorHAnsi" w:cs="Calibri"/>
          <w:b/>
          <w:bCs/>
          <w:color w:val="000000" w:themeColor="text1"/>
          <w:sz w:val="20"/>
          <w:szCs w:val="20"/>
        </w:rPr>
        <w:t>.</w:t>
      </w:r>
    </w:p>
    <w:p w14:paraId="0AEC4ED7" w14:textId="77777777" w:rsidR="00F538CE" w:rsidRPr="0046030A" w:rsidRDefault="00F538CE" w:rsidP="00F538CE">
      <w:pPr>
        <w:ind w:left="709" w:right="720"/>
        <w:jc w:val="both"/>
        <w:rPr>
          <w:rFonts w:asciiTheme="majorHAnsi" w:hAnsiTheme="majorHAnsi" w:cs="Calibri"/>
          <w:b/>
          <w:bCs/>
          <w:color w:val="000000" w:themeColor="text1"/>
          <w:sz w:val="20"/>
          <w:szCs w:val="20"/>
        </w:rPr>
      </w:pPr>
    </w:p>
    <w:p w14:paraId="26994DCC" w14:textId="161DA432" w:rsidR="00F538CE" w:rsidRPr="0046030A" w:rsidRDefault="000D16DA" w:rsidP="00F538CE">
      <w:pPr>
        <w:ind w:left="709" w:right="720"/>
        <w:jc w:val="both"/>
        <w:rPr>
          <w:rFonts w:asciiTheme="majorHAnsi" w:hAnsiTheme="majorHAnsi" w:cs="Calibri"/>
          <w:color w:val="000000" w:themeColor="text1"/>
          <w:sz w:val="20"/>
          <w:szCs w:val="20"/>
        </w:rPr>
      </w:pPr>
      <w:r w:rsidRPr="0046030A">
        <w:rPr>
          <w:rFonts w:asciiTheme="majorHAnsi" w:hAnsiTheme="majorHAnsi" w:cs="Calibri"/>
          <w:color w:val="000000" w:themeColor="text1"/>
          <w:sz w:val="20"/>
          <w:szCs w:val="20"/>
        </w:rPr>
        <w:t>Compliance with this Friendly Settlement Agreement shall be strictly limited to the points set forth herein, in such a way that any circumstance not agreed upon or set forth in the text of this Agreement may not be invoked by any of the parties in its fulfillment</w:t>
      </w:r>
      <w:r w:rsidR="00F538CE" w:rsidRPr="0046030A">
        <w:rPr>
          <w:rFonts w:asciiTheme="majorHAnsi" w:hAnsiTheme="majorHAnsi" w:cs="Calibri"/>
          <w:color w:val="000000" w:themeColor="text1"/>
          <w:sz w:val="20"/>
          <w:szCs w:val="20"/>
        </w:rPr>
        <w:t>.</w:t>
      </w:r>
    </w:p>
    <w:p w14:paraId="624A4DB8" w14:textId="77777777" w:rsidR="00F538CE" w:rsidRPr="0046030A" w:rsidRDefault="00F538CE" w:rsidP="00F538CE">
      <w:pPr>
        <w:ind w:left="709" w:right="720"/>
        <w:jc w:val="both"/>
        <w:rPr>
          <w:rFonts w:asciiTheme="majorHAnsi" w:hAnsiTheme="majorHAnsi" w:cs="Calibri"/>
          <w:color w:val="000000" w:themeColor="text1"/>
          <w:sz w:val="20"/>
          <w:szCs w:val="20"/>
        </w:rPr>
      </w:pPr>
    </w:p>
    <w:p w14:paraId="5794780A" w14:textId="071523E2" w:rsidR="00F538CE" w:rsidRPr="0046030A" w:rsidRDefault="00F538CE" w:rsidP="00F538CE">
      <w:pPr>
        <w:ind w:left="709" w:right="720"/>
        <w:jc w:val="both"/>
        <w:rPr>
          <w:rFonts w:asciiTheme="majorHAnsi" w:hAnsiTheme="majorHAnsi" w:cs="Calibri"/>
          <w:b/>
          <w:bCs/>
          <w:color w:val="000000" w:themeColor="text1"/>
          <w:sz w:val="20"/>
          <w:szCs w:val="20"/>
        </w:rPr>
      </w:pPr>
      <w:r w:rsidRPr="0046030A">
        <w:rPr>
          <w:rFonts w:asciiTheme="majorHAnsi" w:hAnsiTheme="majorHAnsi" w:cs="Calibri"/>
          <w:b/>
          <w:bCs/>
          <w:color w:val="000000" w:themeColor="text1"/>
          <w:sz w:val="20"/>
          <w:szCs w:val="20"/>
        </w:rPr>
        <w:tab/>
      </w:r>
      <w:r w:rsidR="00EC1067" w:rsidRPr="0046030A">
        <w:rPr>
          <w:rFonts w:asciiTheme="majorHAnsi" w:hAnsiTheme="majorHAnsi" w:cs="Calibri"/>
          <w:b/>
          <w:bCs/>
          <w:color w:val="000000" w:themeColor="text1"/>
          <w:sz w:val="20"/>
          <w:szCs w:val="20"/>
        </w:rPr>
        <w:t>FIFTH. DEADLINES FOR COMPLIANCE</w:t>
      </w:r>
      <w:r w:rsidRPr="0046030A">
        <w:rPr>
          <w:rFonts w:asciiTheme="majorHAnsi" w:hAnsiTheme="majorHAnsi" w:cs="Calibri"/>
          <w:b/>
          <w:bCs/>
          <w:color w:val="000000" w:themeColor="text1"/>
          <w:sz w:val="20"/>
          <w:szCs w:val="20"/>
        </w:rPr>
        <w:t>.</w:t>
      </w:r>
    </w:p>
    <w:p w14:paraId="75CDFC8F" w14:textId="77777777" w:rsidR="00F538CE" w:rsidRPr="0046030A" w:rsidRDefault="00F538CE" w:rsidP="00F538CE">
      <w:pPr>
        <w:ind w:left="709" w:right="720"/>
        <w:jc w:val="both"/>
        <w:rPr>
          <w:rFonts w:asciiTheme="majorHAnsi" w:hAnsiTheme="majorHAnsi" w:cs="Calibri"/>
          <w:b/>
          <w:bCs/>
          <w:color w:val="000000" w:themeColor="text1"/>
          <w:sz w:val="20"/>
          <w:szCs w:val="20"/>
        </w:rPr>
      </w:pPr>
    </w:p>
    <w:p w14:paraId="33BD7F2C" w14:textId="77777777" w:rsidR="00695767" w:rsidRPr="0046030A" w:rsidRDefault="00695767" w:rsidP="00695767">
      <w:pPr>
        <w:ind w:left="709" w:right="720"/>
        <w:jc w:val="both"/>
        <w:rPr>
          <w:rFonts w:asciiTheme="majorHAnsi" w:hAnsiTheme="majorHAnsi" w:cs="Calibri"/>
          <w:color w:val="000000" w:themeColor="text1"/>
          <w:sz w:val="20"/>
          <w:szCs w:val="20"/>
        </w:rPr>
      </w:pPr>
      <w:r w:rsidRPr="0046030A">
        <w:rPr>
          <w:rFonts w:asciiTheme="majorHAnsi" w:hAnsiTheme="majorHAnsi" w:cs="Calibri"/>
          <w:color w:val="000000" w:themeColor="text1"/>
          <w:sz w:val="20"/>
          <w:szCs w:val="20"/>
        </w:rPr>
        <w:t>The generic term for the fulfillment of the undertakings set forth in the guidelines referred to in this Agreement shall be four months, at the end of which the progress in the satisfaction of each one of them shall be analyzed and, if appropriate, the extension of said term shall be assessed by both parties on a single occasion, which shall be duly notified to the Inter-American Commission on Human Rights.</w:t>
      </w:r>
    </w:p>
    <w:p w14:paraId="07C47EE0" w14:textId="77777777" w:rsidR="00695767" w:rsidRPr="0046030A" w:rsidRDefault="00695767" w:rsidP="00695767">
      <w:pPr>
        <w:ind w:left="709" w:right="720"/>
        <w:jc w:val="both"/>
        <w:rPr>
          <w:rFonts w:asciiTheme="majorHAnsi" w:hAnsiTheme="majorHAnsi" w:cs="Calibri"/>
          <w:color w:val="000000" w:themeColor="text1"/>
          <w:sz w:val="20"/>
          <w:szCs w:val="20"/>
        </w:rPr>
      </w:pPr>
    </w:p>
    <w:p w14:paraId="22B898CB" w14:textId="1843FA38" w:rsidR="00F538CE" w:rsidRPr="0046030A" w:rsidRDefault="00695767" w:rsidP="00695767">
      <w:pPr>
        <w:ind w:left="709" w:right="720"/>
        <w:jc w:val="both"/>
        <w:rPr>
          <w:rFonts w:asciiTheme="majorHAnsi" w:hAnsiTheme="majorHAnsi" w:cs="Calibri"/>
          <w:color w:val="000000" w:themeColor="text1"/>
          <w:sz w:val="20"/>
          <w:szCs w:val="20"/>
        </w:rPr>
      </w:pPr>
      <w:r w:rsidRPr="0046030A">
        <w:rPr>
          <w:rFonts w:asciiTheme="majorHAnsi" w:hAnsiTheme="majorHAnsi" w:cs="Calibri"/>
          <w:color w:val="000000" w:themeColor="text1"/>
          <w:sz w:val="20"/>
          <w:szCs w:val="20"/>
        </w:rPr>
        <w:t>The Inter-American Commission shall supervise due compliance with this Agreement in accordance with the powers granted to it by Article 48.1.f of the text of the American Convention on Human Rights and Article 41 of its Rules of Procedure</w:t>
      </w:r>
      <w:r w:rsidR="00F538CE" w:rsidRPr="0046030A">
        <w:rPr>
          <w:rFonts w:asciiTheme="majorHAnsi" w:hAnsiTheme="majorHAnsi" w:cs="Calibri"/>
          <w:color w:val="000000" w:themeColor="text1"/>
          <w:sz w:val="20"/>
          <w:szCs w:val="20"/>
        </w:rPr>
        <w:t>.</w:t>
      </w:r>
    </w:p>
    <w:p w14:paraId="1ECA57C0" w14:textId="77777777" w:rsidR="00F538CE" w:rsidRPr="0046030A" w:rsidRDefault="00F538CE" w:rsidP="00F538CE">
      <w:pPr>
        <w:ind w:left="709" w:right="720"/>
        <w:jc w:val="both"/>
        <w:rPr>
          <w:rFonts w:asciiTheme="majorHAnsi" w:hAnsiTheme="majorHAnsi" w:cs="Calibri"/>
          <w:color w:val="000000" w:themeColor="text1"/>
          <w:sz w:val="20"/>
          <w:szCs w:val="20"/>
        </w:rPr>
      </w:pPr>
    </w:p>
    <w:p w14:paraId="53951679" w14:textId="5BB7D348" w:rsidR="00F538CE" w:rsidRPr="0046030A" w:rsidRDefault="00695767" w:rsidP="00F538CE">
      <w:pPr>
        <w:ind w:left="709" w:right="720"/>
        <w:jc w:val="both"/>
        <w:rPr>
          <w:rFonts w:asciiTheme="majorHAnsi" w:hAnsiTheme="majorHAnsi" w:cs="Calibri"/>
          <w:color w:val="000000" w:themeColor="text1"/>
          <w:sz w:val="20"/>
          <w:szCs w:val="20"/>
        </w:rPr>
      </w:pPr>
      <w:r w:rsidRPr="0046030A">
        <w:rPr>
          <w:rFonts w:asciiTheme="majorHAnsi" w:hAnsiTheme="majorHAnsi" w:cs="Calibri"/>
          <w:color w:val="000000" w:themeColor="text1"/>
          <w:sz w:val="20"/>
          <w:szCs w:val="20"/>
        </w:rPr>
        <w:t>The parties being fully aware of the legal content of this instrument, sign it in full conformity for the record at the bottom and margin, in Mexico City, Federal District, on July 8, 2003</w:t>
      </w:r>
      <w:r w:rsidR="00F538CE" w:rsidRPr="0046030A">
        <w:rPr>
          <w:rFonts w:asciiTheme="majorHAnsi" w:hAnsiTheme="majorHAnsi" w:cs="Calibri"/>
          <w:color w:val="000000" w:themeColor="text1"/>
          <w:sz w:val="20"/>
          <w:szCs w:val="20"/>
        </w:rPr>
        <w:t>.</w:t>
      </w:r>
    </w:p>
    <w:p w14:paraId="0D6FB8C1" w14:textId="77777777" w:rsidR="00DA37B6" w:rsidRPr="0046030A"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46030A"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46030A">
        <w:rPr>
          <w:rFonts w:eastAsia="MS Mincho" w:cstheme="minorHAnsi"/>
          <w:b/>
          <w:color w:val="000000" w:themeColor="text1"/>
          <w:sz w:val="20"/>
          <w:szCs w:val="20"/>
        </w:rPr>
        <w:t xml:space="preserve">DETERMINATION OF COMPATIBILITY AND COMPLIANCE </w:t>
      </w:r>
    </w:p>
    <w:p w14:paraId="7768A225" w14:textId="77777777" w:rsidR="002A65AC" w:rsidRPr="0046030A"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24E6A045" w:rsidR="00805112" w:rsidRPr="0046030A" w:rsidRDefault="00805112" w:rsidP="00F538C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MS Mincho" w:hAnsiTheme="majorHAnsi"/>
          <w:sz w:val="20"/>
          <w:szCs w:val="20"/>
        </w:rPr>
      </w:pPr>
      <w:r w:rsidRPr="0046030A">
        <w:rPr>
          <w:rFonts w:asciiTheme="majorHAnsi" w:hAnsiTheme="majorHAnsi"/>
          <w:sz w:val="20"/>
          <w:szCs w:val="20"/>
          <w:bdr w:val="none" w:sz="0" w:space="0" w:color="auto" w:frame="1"/>
          <w:lang w:val="en"/>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46030A">
        <w:rPr>
          <w:rFonts w:asciiTheme="majorHAnsi" w:hAnsiTheme="majorHAnsi"/>
          <w:i/>
          <w:iCs/>
          <w:sz w:val="20"/>
          <w:szCs w:val="20"/>
          <w:bdr w:val="none" w:sz="0" w:space="0" w:color="auto" w:frame="1"/>
          <w:lang w:val="en"/>
        </w:rPr>
        <w:t>pacta sunt servanda</w:t>
      </w:r>
      <w:r w:rsidRPr="0046030A">
        <w:rPr>
          <w:rFonts w:asciiTheme="majorHAnsi" w:hAnsiTheme="majorHAnsi"/>
          <w:sz w:val="20"/>
          <w:szCs w:val="20"/>
          <w:bdr w:val="none" w:sz="0" w:space="0" w:color="auto" w:frame="1"/>
          <w:lang w:val="en"/>
        </w:rPr>
        <w:t>, by which States must comply with the obligations assumed in the treaties in good faith</w:t>
      </w:r>
      <w:r w:rsidRPr="0046030A">
        <w:rPr>
          <w:sz w:val="20"/>
          <w:szCs w:val="20"/>
          <w:bdr w:val="none" w:sz="0" w:space="0" w:color="auto" w:frame="1"/>
          <w:lang w:val="en"/>
        </w:rPr>
        <w:t>.</w:t>
      </w:r>
      <w:r w:rsidRPr="0046030A">
        <w:rPr>
          <w:sz w:val="20"/>
          <w:szCs w:val="20"/>
          <w:bdr w:val="none" w:sz="0" w:space="0" w:color="auto" w:frame="1"/>
          <w:vertAlign w:val="superscript"/>
          <w:lang w:val="en"/>
        </w:rPr>
        <w:footnoteReference w:id="3"/>
      </w:r>
      <w:r w:rsidRPr="0046030A">
        <w:rPr>
          <w:sz w:val="20"/>
          <w:szCs w:val="20"/>
          <w:bdr w:val="none" w:sz="0" w:space="0" w:color="auto" w:frame="1"/>
          <w:lang w:val="en"/>
        </w:rPr>
        <w:t xml:space="preserve"> </w:t>
      </w:r>
      <w:r w:rsidRPr="0046030A">
        <w:rPr>
          <w:sz w:val="20"/>
          <w:szCs w:val="20"/>
          <w:bdr w:val="none" w:sz="0" w:space="0" w:color="auto" w:frame="1"/>
        </w:rPr>
        <w:t>I</w:t>
      </w:r>
      <w:r w:rsidRPr="0046030A">
        <w:rPr>
          <w:rFonts w:asciiTheme="majorHAnsi" w:hAnsiTheme="majorHAnsi"/>
          <w:sz w:val="20"/>
          <w:szCs w:val="20"/>
          <w:bdr w:val="none" w:sz="0" w:space="0" w:color="auto" w:frame="1"/>
        </w:rPr>
        <w:t>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042153D1" w14:textId="11443E1F" w:rsidR="002A65AC" w:rsidRPr="0046030A"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color w:val="000000" w:themeColor="text1"/>
          <w:sz w:val="20"/>
          <w:szCs w:val="20"/>
        </w:rPr>
      </w:pPr>
    </w:p>
    <w:p w14:paraId="500EB521" w14:textId="7D7AA64B" w:rsidR="00F538CE" w:rsidRPr="0046030A" w:rsidRDefault="00695767"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46030A">
        <w:rPr>
          <w:rFonts w:asciiTheme="majorHAnsi" w:hAnsiTheme="majorHAnsi"/>
          <w:sz w:val="20"/>
          <w:szCs w:val="20"/>
        </w:rPr>
        <w:t>The Inter-American Commission on Human Rights has closely followed the development of the friendly settlement reached in the present case and appreciates the efforts made by both parties during the negotiation of the agreement to reach this friendly settlement, which is compatible with the object and purpose of the Convention</w:t>
      </w:r>
      <w:r w:rsidR="00F538CE" w:rsidRPr="0046030A">
        <w:rPr>
          <w:rFonts w:ascii="Cambria" w:eastAsia="MS Mincho" w:hAnsi="Cambria"/>
          <w:sz w:val="20"/>
          <w:szCs w:val="20"/>
        </w:rPr>
        <w:t>.</w:t>
      </w:r>
    </w:p>
    <w:p w14:paraId="5F478F73" w14:textId="77777777" w:rsidR="00F538CE" w:rsidRPr="0046030A" w:rsidRDefault="00F538CE" w:rsidP="00F538CE">
      <w:pPr>
        <w:pStyle w:val="ListParagraph"/>
        <w:rPr>
          <w:rFonts w:eastAsia="MS Mincho"/>
          <w:sz w:val="20"/>
          <w:szCs w:val="20"/>
        </w:rPr>
      </w:pPr>
    </w:p>
    <w:p w14:paraId="57570E29" w14:textId="452F8BED" w:rsidR="00F538CE" w:rsidRPr="0046030A" w:rsidRDefault="00695767"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46030A">
        <w:rPr>
          <w:rFonts w:ascii="Cambria" w:eastAsia="MS Mincho" w:hAnsi="Cambria"/>
          <w:color w:val="000000"/>
          <w:sz w:val="20"/>
          <w:szCs w:val="20"/>
        </w:rPr>
        <w:t xml:space="preserve">In light of Resolution 3/20 of the IACHR on differentiated actions to address procedural backlog in friendly settlement procedures, from the signing of the agreement, the parties will have two years to move towards its </w:t>
      </w:r>
      <w:r w:rsidR="002910E9" w:rsidRPr="0046030A">
        <w:rPr>
          <w:rFonts w:ascii="Cambria" w:eastAsia="MS Mincho" w:hAnsi="Cambria"/>
          <w:color w:val="000000"/>
          <w:sz w:val="20"/>
          <w:szCs w:val="20"/>
        </w:rPr>
        <w:t xml:space="preserve">approval </w:t>
      </w:r>
      <w:r w:rsidRPr="0046030A">
        <w:rPr>
          <w:rFonts w:ascii="Cambria" w:eastAsia="MS Mincho" w:hAnsi="Cambria"/>
          <w:color w:val="000000"/>
          <w:sz w:val="20"/>
          <w:szCs w:val="20"/>
        </w:rPr>
        <w:t xml:space="preserve">by the Inter-American Commission on Human Rights, except for exceptions duly qualified by the Commission. In relation to those cases with a signed agreement and without </w:t>
      </w:r>
      <w:r w:rsidR="002029FC" w:rsidRPr="0046030A">
        <w:rPr>
          <w:rFonts w:ascii="Cambria" w:eastAsia="MS Mincho" w:hAnsi="Cambria"/>
          <w:color w:val="000000"/>
          <w:sz w:val="20"/>
          <w:szCs w:val="20"/>
        </w:rPr>
        <w:t xml:space="preserve">approval </w:t>
      </w:r>
      <w:r w:rsidRPr="0046030A">
        <w:rPr>
          <w:rFonts w:ascii="Cambria" w:eastAsia="MS Mincho" w:hAnsi="Cambria"/>
          <w:color w:val="000000"/>
          <w:sz w:val="20"/>
          <w:szCs w:val="20"/>
        </w:rPr>
        <w:t xml:space="preserve">in which the deadline has expired, the Commission will determine its course of action taking into special consideration the duration of the compliance phase, the age of the petition and the existence of fluid dialogues between the parties and/or substantial progress in the compliance phase. In said Resolution, the Commission established that in assessing the appropriateness of the </w:t>
      </w:r>
      <w:r w:rsidR="002029FC" w:rsidRPr="0046030A">
        <w:rPr>
          <w:rFonts w:ascii="Cambria" w:eastAsia="MS Mincho" w:hAnsi="Cambria"/>
          <w:color w:val="000000"/>
          <w:sz w:val="20"/>
          <w:szCs w:val="20"/>
        </w:rPr>
        <w:t xml:space="preserve">approval </w:t>
      </w:r>
      <w:r w:rsidRPr="0046030A">
        <w:rPr>
          <w:rFonts w:ascii="Cambria" w:eastAsia="MS Mincho" w:hAnsi="Cambria"/>
          <w:color w:val="000000"/>
          <w:sz w:val="20"/>
          <w:szCs w:val="20"/>
        </w:rPr>
        <w:t xml:space="preserve">of the agreement, or the closure or maintenance of the negotiation process, the IACHR shall consider the following elements: (a) the content of the text of the agreement and whether it has a full compliance clause prior to homologation; (b) the nature of the measures agreed upon; (c) the degree of compliance therewith, and in particular, the substantial execution of the commitments assumed; (d) the willingness of the parties in the agreement or in subsequent written </w:t>
      </w:r>
      <w:r w:rsidRPr="0046030A">
        <w:rPr>
          <w:rFonts w:ascii="Cambria" w:eastAsia="MS Mincho" w:hAnsi="Cambria"/>
          <w:color w:val="000000"/>
          <w:sz w:val="20"/>
          <w:szCs w:val="20"/>
        </w:rPr>
        <w:lastRenderedPageBreak/>
        <w:t>communication; (e) its suitability with human rights standards; and (f) the observance of the State's willingness to comply with the commitments assumed in the friendly settlement agreement, among other elements</w:t>
      </w:r>
      <w:r w:rsidR="00CD60A0" w:rsidRPr="0046030A">
        <w:rPr>
          <w:rFonts w:ascii="Cambria" w:eastAsia="MS Mincho" w:hAnsi="Cambria"/>
          <w:color w:val="000000"/>
          <w:sz w:val="20"/>
          <w:szCs w:val="20"/>
        </w:rPr>
        <w:t>.</w:t>
      </w:r>
      <w:r w:rsidR="00F538CE" w:rsidRPr="0046030A">
        <w:rPr>
          <w:rStyle w:val="FootnoteReference"/>
          <w:rFonts w:ascii="Cambria" w:eastAsia="Times New Roman" w:hAnsi="Cambria"/>
          <w:sz w:val="20"/>
          <w:szCs w:val="20"/>
          <w:bdr w:val="none" w:sz="0" w:space="0" w:color="auto" w:frame="1"/>
          <w:lang w:val="es-VE"/>
        </w:rPr>
        <w:footnoteReference w:id="4"/>
      </w:r>
      <w:r w:rsidR="00F538CE" w:rsidRPr="0046030A">
        <w:rPr>
          <w:rFonts w:ascii="Cambria" w:eastAsia="Times New Roman" w:hAnsi="Cambria"/>
          <w:sz w:val="20"/>
          <w:szCs w:val="20"/>
          <w:bdr w:val="none" w:sz="0" w:space="0" w:color="auto" w:frame="1"/>
        </w:rPr>
        <w:t xml:space="preserve"> </w:t>
      </w:r>
    </w:p>
    <w:p w14:paraId="41C71D80" w14:textId="77777777" w:rsidR="00F538CE" w:rsidRPr="0046030A" w:rsidRDefault="00F538CE" w:rsidP="00F538CE">
      <w:pPr>
        <w:pStyle w:val="ListParagraph"/>
        <w:ind w:left="0" w:firstLine="720"/>
        <w:rPr>
          <w:rFonts w:eastAsia="MS Mincho"/>
          <w:sz w:val="20"/>
          <w:szCs w:val="20"/>
        </w:rPr>
      </w:pPr>
    </w:p>
    <w:p w14:paraId="0EC392D7" w14:textId="1125A89F" w:rsidR="00F538CE" w:rsidRPr="0046030A" w:rsidRDefault="00351FE3"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46030A">
        <w:rPr>
          <w:rFonts w:ascii="Cambria" w:hAnsi="Cambria" w:cs="Calibri"/>
          <w:sz w:val="20"/>
          <w:szCs w:val="20"/>
        </w:rPr>
        <w:t xml:space="preserve">Since </w:t>
      </w:r>
      <w:r w:rsidR="00695767" w:rsidRPr="0046030A">
        <w:rPr>
          <w:rFonts w:ascii="Cambria" w:hAnsi="Cambria" w:cs="Calibri"/>
          <w:sz w:val="20"/>
          <w:szCs w:val="20"/>
        </w:rPr>
        <w:t>twenty years have elapsed since the signing of the friendly settlement agreement</w:t>
      </w:r>
      <w:r w:rsidR="002029FC" w:rsidRPr="0046030A">
        <w:rPr>
          <w:rFonts w:ascii="Cambria" w:hAnsi="Cambria" w:cs="Calibri"/>
          <w:sz w:val="20"/>
          <w:szCs w:val="20"/>
        </w:rPr>
        <w:t>;</w:t>
      </w:r>
      <w:r w:rsidR="00695767" w:rsidRPr="0046030A">
        <w:rPr>
          <w:rFonts w:ascii="Cambria" w:hAnsi="Cambria" w:cs="Calibri"/>
          <w:sz w:val="20"/>
          <w:szCs w:val="20"/>
        </w:rPr>
        <w:t xml:space="preserve"> </w:t>
      </w:r>
      <w:r w:rsidR="002029FC" w:rsidRPr="0046030A">
        <w:rPr>
          <w:rFonts w:ascii="Cambria" w:hAnsi="Cambria" w:cs="Calibri"/>
          <w:sz w:val="20"/>
          <w:szCs w:val="20"/>
        </w:rPr>
        <w:t xml:space="preserve">that </w:t>
      </w:r>
      <w:r w:rsidR="00695767" w:rsidRPr="0046030A">
        <w:rPr>
          <w:rFonts w:ascii="Cambria" w:hAnsi="Cambria" w:cs="Calibri"/>
          <w:sz w:val="20"/>
          <w:szCs w:val="20"/>
        </w:rPr>
        <w:t xml:space="preserve">is a </w:t>
      </w:r>
      <w:r w:rsidR="002029FC" w:rsidRPr="0046030A">
        <w:rPr>
          <w:rFonts w:ascii="Cambria" w:hAnsi="Cambria" w:cs="Calibri"/>
          <w:sz w:val="20"/>
          <w:szCs w:val="20"/>
        </w:rPr>
        <w:t xml:space="preserve">petition </w:t>
      </w:r>
      <w:r w:rsidR="00695767" w:rsidRPr="0046030A">
        <w:rPr>
          <w:rFonts w:ascii="Cambria" w:hAnsi="Cambria" w:cs="Calibri"/>
          <w:sz w:val="20"/>
          <w:szCs w:val="20"/>
        </w:rPr>
        <w:t>submitted twenty-six years ago, on March 11, 1997</w:t>
      </w:r>
      <w:r w:rsidR="00CD60A0" w:rsidRPr="0046030A">
        <w:rPr>
          <w:rFonts w:ascii="Cambria" w:hAnsi="Cambria" w:cs="Calibri"/>
          <w:sz w:val="20"/>
          <w:szCs w:val="20"/>
        </w:rPr>
        <w:t>;</w:t>
      </w:r>
      <w:r w:rsidR="00695767" w:rsidRPr="0046030A">
        <w:rPr>
          <w:rFonts w:ascii="Cambria" w:hAnsi="Cambria" w:cs="Calibri"/>
          <w:sz w:val="20"/>
          <w:szCs w:val="20"/>
        </w:rPr>
        <w:t xml:space="preserve"> it is necessary to determine the course of action in the present case and to assess the appropriateness of the approval in the light of the objective criteria established by the Commission in Resolution 3/20</w:t>
      </w:r>
      <w:r w:rsidR="00F538CE" w:rsidRPr="0046030A">
        <w:rPr>
          <w:rFonts w:ascii="Cambria" w:hAnsi="Cambria" w:cs="Calibri"/>
          <w:sz w:val="20"/>
          <w:szCs w:val="20"/>
        </w:rPr>
        <w:t xml:space="preserve">. </w:t>
      </w:r>
    </w:p>
    <w:p w14:paraId="7FE505B0" w14:textId="77777777" w:rsidR="00F538CE" w:rsidRPr="0046030A" w:rsidRDefault="00F538CE" w:rsidP="00F538CE">
      <w:pPr>
        <w:pStyle w:val="ListParagraph"/>
        <w:rPr>
          <w:rFonts w:eastAsia="MS Mincho"/>
          <w:sz w:val="20"/>
          <w:szCs w:val="20"/>
        </w:rPr>
      </w:pPr>
    </w:p>
    <w:p w14:paraId="10182B00" w14:textId="3588952C" w:rsidR="00F538CE" w:rsidRPr="0046030A" w:rsidRDefault="00695767"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u w:val="single"/>
        </w:rPr>
      </w:pPr>
      <w:r w:rsidRPr="0046030A">
        <w:rPr>
          <w:rFonts w:ascii="Cambria" w:eastAsia="MS Mincho" w:hAnsi="Cambria"/>
          <w:sz w:val="20"/>
          <w:szCs w:val="20"/>
        </w:rPr>
        <w:t xml:space="preserve">With regard to the content of the text of the agreement, the Commission </w:t>
      </w:r>
      <w:r w:rsidR="00351FE3" w:rsidRPr="0046030A">
        <w:rPr>
          <w:rFonts w:ascii="Cambria" w:eastAsia="MS Mincho" w:hAnsi="Cambria"/>
          <w:sz w:val="20"/>
          <w:szCs w:val="20"/>
        </w:rPr>
        <w:t>observes</w:t>
      </w:r>
      <w:r w:rsidRPr="0046030A">
        <w:rPr>
          <w:rFonts w:ascii="Cambria" w:eastAsia="MS Mincho" w:hAnsi="Cambria"/>
          <w:sz w:val="20"/>
          <w:szCs w:val="20"/>
        </w:rPr>
        <w:t xml:space="preserve"> that it is not clear from the agreement that its approval is dependent on full compliance with the measures agreed therein</w:t>
      </w:r>
      <w:r w:rsidR="00F538CE" w:rsidRPr="0046030A">
        <w:rPr>
          <w:rFonts w:ascii="Cambria" w:eastAsia="MS Mincho" w:hAnsi="Cambria"/>
          <w:sz w:val="20"/>
          <w:szCs w:val="20"/>
        </w:rPr>
        <w:t xml:space="preserve">. </w:t>
      </w:r>
    </w:p>
    <w:p w14:paraId="0A364E6F" w14:textId="77777777" w:rsidR="00F538CE" w:rsidRPr="0046030A" w:rsidRDefault="00F538CE" w:rsidP="00F538C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rPr>
      </w:pPr>
    </w:p>
    <w:p w14:paraId="606BAAF9" w14:textId="63F76B14" w:rsidR="00F538CE" w:rsidRPr="0046030A" w:rsidRDefault="00695767"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46030A">
        <w:rPr>
          <w:rFonts w:ascii="Cambria" w:eastAsia="MS Mincho" w:hAnsi="Cambria"/>
          <w:color w:val="000000"/>
          <w:sz w:val="20"/>
          <w:szCs w:val="20"/>
        </w:rPr>
        <w:t xml:space="preserve">Regarding the nature of the agreed measures, the Commission </w:t>
      </w:r>
      <w:r w:rsidR="00351FE3" w:rsidRPr="0046030A">
        <w:rPr>
          <w:rFonts w:ascii="Cambria" w:eastAsia="MS Mincho" w:hAnsi="Cambria"/>
          <w:sz w:val="20"/>
          <w:szCs w:val="20"/>
        </w:rPr>
        <w:t xml:space="preserve">observes </w:t>
      </w:r>
      <w:r w:rsidRPr="0046030A">
        <w:rPr>
          <w:rFonts w:ascii="Cambria" w:eastAsia="MS Mincho" w:hAnsi="Cambria"/>
          <w:color w:val="000000"/>
          <w:sz w:val="20"/>
          <w:szCs w:val="20"/>
        </w:rPr>
        <w:t>that the FSA provides for a</w:t>
      </w:r>
      <w:r w:rsidR="00CD60A0" w:rsidRPr="0046030A">
        <w:rPr>
          <w:rFonts w:ascii="Cambria" w:eastAsia="MS Mincho" w:hAnsi="Cambria"/>
          <w:color w:val="000000"/>
          <w:sz w:val="20"/>
          <w:szCs w:val="20"/>
        </w:rPr>
        <w:t xml:space="preserve"> measure of immediate execution</w:t>
      </w:r>
      <w:r w:rsidRPr="0046030A">
        <w:rPr>
          <w:rFonts w:ascii="Cambria" w:eastAsia="MS Mincho" w:hAnsi="Cambria"/>
          <w:color w:val="000000"/>
          <w:sz w:val="20"/>
          <w:szCs w:val="20"/>
        </w:rPr>
        <w:t xml:space="preserve"> related to the granting of financial support and a </w:t>
      </w:r>
      <w:r w:rsidR="00CD60A0" w:rsidRPr="0046030A">
        <w:rPr>
          <w:rFonts w:ascii="Cambria" w:eastAsia="MS Mincho" w:hAnsi="Cambria"/>
          <w:color w:val="000000"/>
          <w:sz w:val="20"/>
          <w:szCs w:val="20"/>
        </w:rPr>
        <w:t>measure of sequential execution related to the investigation</w:t>
      </w:r>
      <w:r w:rsidRPr="0046030A">
        <w:rPr>
          <w:rFonts w:ascii="Cambria" w:eastAsia="MS Mincho" w:hAnsi="Cambria"/>
          <w:color w:val="000000"/>
          <w:sz w:val="20"/>
          <w:szCs w:val="20"/>
        </w:rPr>
        <w:t xml:space="preserve">. Regarding the latter, the Commission has already considered that the monitoring of this type of measures, in the context of a friendly settlement, should in some cases be done in a public manner and after the issuance of the approval report. The Commission will have to assess the relevance of keeping a </w:t>
      </w:r>
      <w:r w:rsidR="00CD60A0" w:rsidRPr="0046030A">
        <w:rPr>
          <w:rFonts w:ascii="Cambria" w:eastAsia="MS Mincho" w:hAnsi="Cambria"/>
          <w:color w:val="000000"/>
          <w:sz w:val="20"/>
          <w:szCs w:val="20"/>
        </w:rPr>
        <w:t xml:space="preserve">measure of </w:t>
      </w:r>
      <w:r w:rsidRPr="0046030A">
        <w:rPr>
          <w:rFonts w:ascii="Cambria" w:eastAsia="MS Mincho" w:hAnsi="Cambria"/>
          <w:color w:val="000000"/>
          <w:sz w:val="20"/>
          <w:szCs w:val="20"/>
        </w:rPr>
        <w:t>s</w:t>
      </w:r>
      <w:r w:rsidR="00CD60A0" w:rsidRPr="0046030A">
        <w:rPr>
          <w:rFonts w:ascii="Cambria" w:eastAsia="MS Mincho" w:hAnsi="Cambria"/>
          <w:color w:val="000000"/>
          <w:sz w:val="20"/>
          <w:szCs w:val="20"/>
        </w:rPr>
        <w:t xml:space="preserve">equential execution </w:t>
      </w:r>
      <w:r w:rsidRPr="0046030A">
        <w:rPr>
          <w:rFonts w:ascii="Cambria" w:eastAsia="MS Mincho" w:hAnsi="Cambria"/>
          <w:color w:val="000000"/>
          <w:sz w:val="20"/>
          <w:szCs w:val="20"/>
        </w:rPr>
        <w:t>under supervision before or after the approval, taking into account the particular elements of each case and the factors of analysis described above</w:t>
      </w:r>
      <w:r w:rsidR="00CD60A0" w:rsidRPr="0046030A">
        <w:rPr>
          <w:rFonts w:ascii="Cambria" w:eastAsia="MS Mincho" w:hAnsi="Cambria"/>
          <w:color w:val="000000"/>
          <w:sz w:val="20"/>
          <w:szCs w:val="20"/>
        </w:rPr>
        <w:t>.</w:t>
      </w:r>
      <w:r w:rsidR="00F538CE" w:rsidRPr="0046030A">
        <w:rPr>
          <w:rStyle w:val="FootnoteReference"/>
          <w:rFonts w:ascii="Cambria" w:eastAsia="MS Mincho" w:hAnsi="Cambria"/>
          <w:color w:val="000000"/>
          <w:sz w:val="20"/>
          <w:szCs w:val="20"/>
          <w:lang w:val="es-ES"/>
        </w:rPr>
        <w:footnoteReference w:id="5"/>
      </w:r>
    </w:p>
    <w:p w14:paraId="1D8B0A92" w14:textId="77777777" w:rsidR="00F538CE" w:rsidRPr="0046030A" w:rsidRDefault="00F538CE" w:rsidP="00F538CE">
      <w:pPr>
        <w:pStyle w:val="ListParagraph"/>
        <w:rPr>
          <w:rFonts w:eastAsia="MS Mincho"/>
          <w:sz w:val="20"/>
          <w:szCs w:val="20"/>
        </w:rPr>
      </w:pPr>
    </w:p>
    <w:p w14:paraId="7A213D08" w14:textId="365DDEE6" w:rsidR="00F538CE" w:rsidRPr="0046030A" w:rsidRDefault="00CD5543"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olor w:val="000000"/>
          <w:sz w:val="20"/>
          <w:szCs w:val="20"/>
        </w:rPr>
      </w:pPr>
      <w:r w:rsidRPr="0046030A">
        <w:rPr>
          <w:rFonts w:ascii="Cambria" w:eastAsia="MS Mincho" w:hAnsi="Cambria"/>
          <w:color w:val="000000"/>
          <w:sz w:val="20"/>
          <w:szCs w:val="20"/>
        </w:rPr>
        <w:t>With regard to the degree of compliance with the agreement, the Commission assesses the progress made in relation to each of the clauses of the agreement as follows</w:t>
      </w:r>
      <w:r w:rsidR="00F538CE" w:rsidRPr="0046030A">
        <w:rPr>
          <w:rFonts w:ascii="Cambria" w:eastAsia="MS Mincho" w:hAnsi="Cambria"/>
          <w:color w:val="000000"/>
          <w:sz w:val="20"/>
          <w:szCs w:val="20"/>
        </w:rPr>
        <w:t xml:space="preserve">. </w:t>
      </w:r>
    </w:p>
    <w:p w14:paraId="682F4C5F" w14:textId="77777777" w:rsidR="00F538CE" w:rsidRPr="0046030A" w:rsidRDefault="00F538CE" w:rsidP="00F538C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sz w:val="20"/>
          <w:szCs w:val="20"/>
        </w:rPr>
      </w:pPr>
    </w:p>
    <w:p w14:paraId="7991CB13" w14:textId="6DA3A53F" w:rsidR="00F538CE" w:rsidRPr="0046030A" w:rsidRDefault="00CD60A0" w:rsidP="00F538CE">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color w:val="auto"/>
          <w:sz w:val="20"/>
          <w:szCs w:val="20"/>
          <w:bdr w:val="none" w:sz="0" w:space="0" w:color="auto" w:frame="1"/>
        </w:rPr>
      </w:pPr>
      <w:r w:rsidRPr="0046030A">
        <w:rPr>
          <w:rFonts w:eastAsia="MS Mincho"/>
          <w:color w:val="auto"/>
          <w:sz w:val="20"/>
          <w:szCs w:val="20"/>
        </w:rPr>
        <w:t xml:space="preserve">With regard </w:t>
      </w:r>
      <w:r w:rsidR="00CD5543" w:rsidRPr="0046030A">
        <w:rPr>
          <w:rFonts w:eastAsia="MS Mincho"/>
          <w:color w:val="auto"/>
          <w:sz w:val="20"/>
          <w:szCs w:val="20"/>
        </w:rPr>
        <w:t xml:space="preserve">to the second clause of the agreement, on the investigation of the facts, on January 20, 2022, the technical team of the Executive Secretariat of the IACHR facilitated a </w:t>
      </w:r>
      <w:r w:rsidRPr="0046030A">
        <w:rPr>
          <w:rFonts w:eastAsia="MS Mincho"/>
          <w:color w:val="auto"/>
          <w:sz w:val="20"/>
          <w:szCs w:val="20"/>
        </w:rPr>
        <w:t xml:space="preserve">joint </w:t>
      </w:r>
      <w:r w:rsidR="00CD5543" w:rsidRPr="0046030A">
        <w:rPr>
          <w:rFonts w:eastAsia="MS Mincho"/>
          <w:color w:val="auto"/>
          <w:sz w:val="20"/>
          <w:szCs w:val="20"/>
        </w:rPr>
        <w:t xml:space="preserve">technical meeting with the purpose of the parties agreeing on the prioritization of actions to achieve the </w:t>
      </w:r>
      <w:r w:rsidRPr="0046030A">
        <w:rPr>
          <w:rFonts w:eastAsia="MS Mincho"/>
          <w:color w:val="auto"/>
          <w:sz w:val="20"/>
          <w:szCs w:val="20"/>
        </w:rPr>
        <w:t xml:space="preserve">approval </w:t>
      </w:r>
      <w:r w:rsidR="00CD5543" w:rsidRPr="0046030A">
        <w:rPr>
          <w:rFonts w:eastAsia="MS Mincho"/>
          <w:color w:val="auto"/>
          <w:sz w:val="20"/>
          <w:szCs w:val="20"/>
        </w:rPr>
        <w:t>of the FSA</w:t>
      </w:r>
      <w:r w:rsidRPr="0046030A">
        <w:rPr>
          <w:rFonts w:eastAsia="MS Mincho"/>
          <w:color w:val="auto"/>
          <w:sz w:val="20"/>
          <w:szCs w:val="20"/>
        </w:rPr>
        <w:t>. A</w:t>
      </w:r>
      <w:r w:rsidR="00CD5543" w:rsidRPr="0046030A">
        <w:rPr>
          <w:rFonts w:eastAsia="MS Mincho"/>
          <w:color w:val="auto"/>
          <w:sz w:val="20"/>
          <w:szCs w:val="20"/>
        </w:rPr>
        <w:t>s a result, a document</w:t>
      </w:r>
      <w:r w:rsidR="00610F29" w:rsidRPr="0046030A">
        <w:rPr>
          <w:rStyle w:val="FootnoteReference"/>
          <w:rFonts w:cstheme="minorHAnsi"/>
          <w:color w:val="auto"/>
          <w:sz w:val="20"/>
          <w:szCs w:val="20"/>
          <w:lang w:val="pt-BR"/>
        </w:rPr>
        <w:footnoteReference w:id="6"/>
      </w:r>
      <w:r w:rsidR="00610F29" w:rsidRPr="0046030A">
        <w:rPr>
          <w:rFonts w:eastAsia="Times New Roman"/>
          <w:color w:val="auto"/>
          <w:sz w:val="20"/>
          <w:szCs w:val="20"/>
          <w:bdr w:val="none" w:sz="0" w:space="0" w:color="auto" w:frame="1"/>
        </w:rPr>
        <w:t xml:space="preserve"> </w:t>
      </w:r>
      <w:r w:rsidR="00CD5543" w:rsidRPr="0046030A">
        <w:rPr>
          <w:rFonts w:eastAsia="MS Mincho"/>
          <w:color w:val="auto"/>
          <w:sz w:val="20"/>
          <w:szCs w:val="20"/>
        </w:rPr>
        <w:t>was signed in which both parties acknowledged the progress made in the framework of the implementation of the agreement in relation to</w:t>
      </w:r>
      <w:r w:rsidRPr="0046030A">
        <w:rPr>
          <w:rFonts w:eastAsia="MS Mincho"/>
          <w:color w:val="auto"/>
          <w:sz w:val="20"/>
          <w:szCs w:val="20"/>
        </w:rPr>
        <w:t>:</w:t>
      </w:r>
      <w:r w:rsidR="00CD5543" w:rsidRPr="0046030A">
        <w:rPr>
          <w:rFonts w:eastAsia="MS Mincho"/>
          <w:color w:val="auto"/>
          <w:sz w:val="20"/>
          <w:szCs w:val="20"/>
        </w:rPr>
        <w:t xml:space="preserve"> the concentration of the process in a single proce</w:t>
      </w:r>
      <w:r w:rsidRPr="0046030A">
        <w:rPr>
          <w:rFonts w:eastAsia="MS Mincho"/>
          <w:color w:val="auto"/>
          <w:sz w:val="20"/>
          <w:szCs w:val="20"/>
        </w:rPr>
        <w:t xml:space="preserve">dure </w:t>
      </w:r>
      <w:r w:rsidR="00CD5543" w:rsidRPr="0046030A">
        <w:rPr>
          <w:rFonts w:eastAsia="MS Mincho"/>
          <w:color w:val="auto"/>
          <w:sz w:val="20"/>
          <w:szCs w:val="20"/>
        </w:rPr>
        <w:t>and a single file before the Prosecutor's Office</w:t>
      </w:r>
      <w:r w:rsidRPr="0046030A">
        <w:rPr>
          <w:rFonts w:eastAsia="MS Mincho"/>
          <w:color w:val="auto"/>
          <w:sz w:val="20"/>
          <w:szCs w:val="20"/>
        </w:rPr>
        <w:t>;</w:t>
      </w:r>
      <w:r w:rsidR="00CD5543" w:rsidRPr="0046030A">
        <w:rPr>
          <w:rFonts w:eastAsia="MS Mincho"/>
          <w:color w:val="auto"/>
          <w:sz w:val="20"/>
          <w:szCs w:val="20"/>
        </w:rPr>
        <w:t xml:space="preserve"> the taking of DNA samples to compile information in the database</w:t>
      </w:r>
      <w:r w:rsidRPr="0046030A">
        <w:rPr>
          <w:rFonts w:eastAsia="MS Mincho"/>
          <w:color w:val="auto"/>
          <w:sz w:val="20"/>
          <w:szCs w:val="20"/>
        </w:rPr>
        <w:t>;</w:t>
      </w:r>
      <w:r w:rsidR="00CD5543" w:rsidRPr="0046030A">
        <w:rPr>
          <w:rFonts w:eastAsia="MS Mincho"/>
          <w:color w:val="auto"/>
          <w:sz w:val="20"/>
          <w:szCs w:val="20"/>
        </w:rPr>
        <w:t xml:space="preserve"> and also, the delay that had occurred in the investigations and the impact this had caused on Mr. Pineda Henestrosa's family</w:t>
      </w:r>
      <w:r w:rsidR="00F538CE" w:rsidRPr="0046030A">
        <w:rPr>
          <w:rFonts w:eastAsia="MS Mincho"/>
          <w:color w:val="auto"/>
          <w:sz w:val="20"/>
          <w:szCs w:val="20"/>
        </w:rPr>
        <w:t>.</w:t>
      </w:r>
    </w:p>
    <w:p w14:paraId="69288DB0" w14:textId="77777777" w:rsidR="00F538CE" w:rsidRPr="0046030A" w:rsidRDefault="00F538CE" w:rsidP="00F538CE">
      <w:pPr>
        <w:pStyle w:val="ListParagraph"/>
        <w:rPr>
          <w:sz w:val="20"/>
          <w:szCs w:val="20"/>
        </w:rPr>
      </w:pPr>
    </w:p>
    <w:p w14:paraId="53D08775" w14:textId="449EE851" w:rsidR="00F538CE" w:rsidRPr="0046030A" w:rsidRDefault="00CD60A0"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720"/>
        <w:jc w:val="both"/>
        <w:rPr>
          <w:rFonts w:ascii="Cambria" w:hAnsi="Cambria"/>
          <w:sz w:val="20"/>
          <w:szCs w:val="20"/>
        </w:rPr>
      </w:pPr>
      <w:r w:rsidRPr="0046030A">
        <w:rPr>
          <w:rFonts w:ascii="Cambria" w:hAnsi="Cambria"/>
          <w:sz w:val="20"/>
          <w:szCs w:val="20"/>
        </w:rPr>
        <w:t>Within</w:t>
      </w:r>
      <w:r w:rsidR="00CD5543" w:rsidRPr="0046030A">
        <w:rPr>
          <w:rFonts w:ascii="Cambria" w:hAnsi="Cambria"/>
          <w:sz w:val="20"/>
          <w:szCs w:val="20"/>
        </w:rPr>
        <w:t xml:space="preserve"> the framework of said meeting, the parties agreed to sign the following commitments assumed by the State and related to the investigation: b) In view of the existence of evidence of the participation of State agents (military) in the disappearance of Víctor Pineda Henestrosa, the Mexican State undertakes to continue with the investigation of the facts through the Office of the Attorney General of the Republic, in a diligent, thorough, impartial and effective manner. The SEGOB will follow up on the investigation. Likewise, the parties agreed to prioritize the execution of the following actions to measure the fulfillment of the agreed commitments regarding the investigation of the facts: 1. Economic compensation: The State committed to grant an amount assessed in equity in the amount of 3</w:t>
      </w:r>
      <w:r w:rsidR="00F50705" w:rsidRPr="0046030A">
        <w:rPr>
          <w:rFonts w:ascii="Cambria" w:hAnsi="Cambria"/>
          <w:sz w:val="20"/>
          <w:szCs w:val="20"/>
        </w:rPr>
        <w:t>,</w:t>
      </w:r>
      <w:r w:rsidR="00CD5543" w:rsidRPr="0046030A">
        <w:rPr>
          <w:rFonts w:ascii="Cambria" w:hAnsi="Cambria"/>
          <w:sz w:val="20"/>
          <w:szCs w:val="20"/>
        </w:rPr>
        <w:t>000,000 (three million) Mexican pesos to Mr. Pineda Henestrosa's family, through a Trust Fund; [and] 2: The State undertook to resume the work performed within the context of the roundtables for the follow-up of the investigations, as well as, to present a work schedule for the periodic follow-up of progress in the investigations</w:t>
      </w:r>
      <w:r w:rsidR="00F538CE" w:rsidRPr="0046030A">
        <w:rPr>
          <w:rFonts w:ascii="Cambria" w:eastAsia="MS Mincho" w:hAnsi="Cambria"/>
          <w:sz w:val="20"/>
          <w:szCs w:val="20"/>
        </w:rPr>
        <w:t>.</w:t>
      </w:r>
    </w:p>
    <w:p w14:paraId="01E96A46" w14:textId="77777777" w:rsidR="00F538CE" w:rsidRPr="0046030A" w:rsidRDefault="00F538CE" w:rsidP="00F538CE">
      <w:pPr>
        <w:rPr>
          <w:rFonts w:ascii="Cambria" w:hAnsi="Cambria"/>
          <w:sz w:val="20"/>
          <w:szCs w:val="20"/>
        </w:rPr>
      </w:pPr>
    </w:p>
    <w:p w14:paraId="729EBFF1" w14:textId="0A3D31E5" w:rsidR="00F538CE" w:rsidRPr="0046030A" w:rsidRDefault="00CD5543"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720"/>
        <w:jc w:val="both"/>
        <w:rPr>
          <w:rFonts w:ascii="Cambria" w:eastAsia="MS Mincho" w:hAnsi="Cambria"/>
          <w:color w:val="000000"/>
          <w:sz w:val="20"/>
          <w:szCs w:val="20"/>
        </w:rPr>
      </w:pPr>
      <w:r w:rsidRPr="0046030A">
        <w:rPr>
          <w:rFonts w:ascii="Cambria" w:hAnsi="Cambria"/>
          <w:sz w:val="20"/>
          <w:szCs w:val="20"/>
        </w:rPr>
        <w:t xml:space="preserve">With regard to the </w:t>
      </w:r>
      <w:r w:rsidR="00F50705" w:rsidRPr="0046030A">
        <w:rPr>
          <w:rFonts w:ascii="Cambria" w:hAnsi="Cambria"/>
          <w:sz w:val="20"/>
          <w:szCs w:val="20"/>
        </w:rPr>
        <w:t xml:space="preserve">commitment of </w:t>
      </w:r>
      <w:r w:rsidRPr="0046030A">
        <w:rPr>
          <w:rFonts w:ascii="Cambria" w:hAnsi="Cambria"/>
          <w:sz w:val="20"/>
          <w:szCs w:val="20"/>
        </w:rPr>
        <w:t xml:space="preserve">financial compensation, on October 18, 2022, the State submitted information on the consignment made on February 9, 2022 in favor of the </w:t>
      </w:r>
      <w:r w:rsidR="00F50705" w:rsidRPr="0046030A">
        <w:rPr>
          <w:rFonts w:ascii="Cambria" w:hAnsi="Cambria"/>
          <w:sz w:val="20"/>
          <w:szCs w:val="20"/>
        </w:rPr>
        <w:t>p</w:t>
      </w:r>
      <w:r w:rsidRPr="0046030A">
        <w:rPr>
          <w:rFonts w:ascii="Cambria" w:hAnsi="Cambria"/>
          <w:sz w:val="20"/>
          <w:szCs w:val="20"/>
        </w:rPr>
        <w:t xml:space="preserve">etitioner for </w:t>
      </w:r>
      <w:r w:rsidR="00351FE3" w:rsidRPr="0046030A">
        <w:rPr>
          <w:rFonts w:ascii="Cambria" w:hAnsi="Cambria"/>
          <w:sz w:val="20"/>
          <w:szCs w:val="20"/>
        </w:rPr>
        <w:t>a sum</w:t>
      </w:r>
      <w:r w:rsidRPr="0046030A">
        <w:rPr>
          <w:rFonts w:ascii="Cambria" w:hAnsi="Cambria"/>
          <w:sz w:val="20"/>
          <w:szCs w:val="20"/>
        </w:rPr>
        <w:t xml:space="preserve"> corresponding to the agreed amount. For its part, on February 20, 2023, the </w:t>
      </w:r>
      <w:r w:rsidR="00F50705" w:rsidRPr="0046030A">
        <w:rPr>
          <w:rFonts w:ascii="Cambria" w:hAnsi="Cambria"/>
          <w:sz w:val="20"/>
          <w:szCs w:val="20"/>
        </w:rPr>
        <w:t>p</w:t>
      </w:r>
      <w:r w:rsidRPr="0046030A">
        <w:rPr>
          <w:rFonts w:ascii="Cambria" w:hAnsi="Cambria"/>
          <w:sz w:val="20"/>
          <w:szCs w:val="20"/>
        </w:rPr>
        <w:t xml:space="preserve">etitioner confirmed said </w:t>
      </w:r>
      <w:r w:rsidRPr="0046030A">
        <w:rPr>
          <w:rFonts w:ascii="Cambria" w:hAnsi="Cambria"/>
          <w:sz w:val="20"/>
          <w:szCs w:val="20"/>
        </w:rPr>
        <w:lastRenderedPageBreak/>
        <w:t>information indicating the receipt of the amount for economic reparations, which was satisfactorily accepted. Therefore, based on the information provided by the parties, the Commission considers that this aspect of the agreement has been fully complied with and so declares</w:t>
      </w:r>
      <w:r w:rsidR="00F50705" w:rsidRPr="0046030A">
        <w:rPr>
          <w:rFonts w:ascii="Cambria" w:hAnsi="Cambria"/>
          <w:sz w:val="20"/>
          <w:szCs w:val="20"/>
        </w:rPr>
        <w:t xml:space="preserve"> it</w:t>
      </w:r>
      <w:r w:rsidR="00F538CE" w:rsidRPr="0046030A">
        <w:rPr>
          <w:rFonts w:ascii="Cambria" w:eastAsia="MS Mincho" w:hAnsi="Cambria"/>
          <w:sz w:val="20"/>
          <w:szCs w:val="20"/>
        </w:rPr>
        <w:t>.</w:t>
      </w:r>
    </w:p>
    <w:p w14:paraId="4F366974" w14:textId="77777777" w:rsidR="00F538CE" w:rsidRPr="0046030A" w:rsidRDefault="00F538CE" w:rsidP="00F538CE">
      <w:pPr>
        <w:pStyle w:val="ListParagraph"/>
        <w:rPr>
          <w:sz w:val="20"/>
          <w:szCs w:val="20"/>
        </w:rPr>
      </w:pPr>
    </w:p>
    <w:p w14:paraId="75785D15" w14:textId="02BE02A7" w:rsidR="00F538CE" w:rsidRPr="0046030A" w:rsidRDefault="00F50705"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720"/>
        <w:jc w:val="both"/>
        <w:rPr>
          <w:rStyle w:val="CommentReference"/>
          <w:rFonts w:ascii="Cambria" w:hAnsi="Cambria"/>
          <w:sz w:val="20"/>
          <w:szCs w:val="20"/>
        </w:rPr>
      </w:pPr>
      <w:r w:rsidRPr="0046030A">
        <w:rPr>
          <w:rFonts w:ascii="Cambria" w:hAnsi="Cambria"/>
          <w:sz w:val="20"/>
          <w:szCs w:val="20"/>
        </w:rPr>
        <w:t>With regard to</w:t>
      </w:r>
      <w:r w:rsidR="00CD5543" w:rsidRPr="0046030A">
        <w:rPr>
          <w:rFonts w:ascii="Cambria" w:hAnsi="Cambria"/>
          <w:sz w:val="20"/>
          <w:szCs w:val="20"/>
        </w:rPr>
        <w:t xml:space="preserve"> the commitment to reactivate the work roundtables, on January 20, 2022, the State submitted a proposal for a timetable proposing the holding of the following meetings: 1. Tuesday, February 15, 2022. Remote; 2. Monday, May 16, 2022. Remote; 3. Monday, August 15, 2022. (conditions for face-to-face meeting to be explored); 4. Monday, November 14, 2022. (conditions for the face-to-face meeting </w:t>
      </w:r>
      <w:r w:rsidR="00351FE3" w:rsidRPr="0046030A">
        <w:rPr>
          <w:rFonts w:ascii="Cambria" w:hAnsi="Cambria"/>
          <w:sz w:val="20"/>
          <w:szCs w:val="20"/>
        </w:rPr>
        <w:t>to</w:t>
      </w:r>
      <w:r w:rsidR="00CD5543" w:rsidRPr="0046030A">
        <w:rPr>
          <w:rFonts w:ascii="Cambria" w:hAnsi="Cambria"/>
          <w:sz w:val="20"/>
          <w:szCs w:val="20"/>
        </w:rPr>
        <w:t xml:space="preserve"> be explored); 5. Subsequent meetings will be scheduled in agreement with the victims and their representatives. In this regard, in a report sent on October 18, 2022, the minutes corresponding to the meetings held in accordance with the agreed schedule, on May 16, 2022 and August 15,</w:t>
      </w:r>
      <w:r w:rsidRPr="0046030A">
        <w:rPr>
          <w:rFonts w:ascii="Cambria" w:hAnsi="Cambria"/>
          <w:sz w:val="20"/>
          <w:szCs w:val="20"/>
        </w:rPr>
        <w:t xml:space="preserve"> 2022, were shared</w:t>
      </w:r>
      <w:r w:rsidR="00F538CE" w:rsidRPr="0046030A">
        <w:rPr>
          <w:rStyle w:val="CommentReference"/>
          <w:rFonts w:ascii="Cambria" w:hAnsi="Cambria"/>
          <w:sz w:val="20"/>
          <w:szCs w:val="20"/>
        </w:rPr>
        <w:t>.</w:t>
      </w:r>
    </w:p>
    <w:p w14:paraId="2597D595" w14:textId="77777777" w:rsidR="00F538CE" w:rsidRPr="0046030A" w:rsidRDefault="00F538CE" w:rsidP="00F538CE">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mbria" w:hAnsi="Cambria"/>
          <w:sz w:val="20"/>
          <w:szCs w:val="20"/>
        </w:rPr>
      </w:pPr>
    </w:p>
    <w:p w14:paraId="4CE97EC8" w14:textId="4A449A3F" w:rsidR="00F538CE" w:rsidRPr="0046030A" w:rsidRDefault="00CD5543"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ind w:left="0" w:firstLine="720"/>
        <w:jc w:val="both"/>
        <w:rPr>
          <w:rFonts w:ascii="Cambria" w:hAnsi="Cambria"/>
          <w:sz w:val="20"/>
          <w:szCs w:val="20"/>
        </w:rPr>
      </w:pPr>
      <w:r w:rsidRPr="0046030A">
        <w:rPr>
          <w:rFonts w:ascii="Cambria" w:hAnsi="Cambria"/>
          <w:sz w:val="20"/>
          <w:szCs w:val="20"/>
        </w:rPr>
        <w:t>In a letter dated February 20, 2023, the petitioner confirmed what was reported by the State on October 18, 2022 and forwarded minutes of the meetings held on June 25, 2021, and February 15, 2022, and the call for the session that was scheduled for November 14, 2022. Therefore, the Commission considers that the State has complied with these two commitments made at the technical meeting of January 22, 2022</w:t>
      </w:r>
      <w:r w:rsidR="00F50705" w:rsidRPr="0046030A">
        <w:rPr>
          <w:rFonts w:ascii="Cambria" w:hAnsi="Cambria"/>
          <w:sz w:val="20"/>
          <w:szCs w:val="20"/>
        </w:rPr>
        <w:t>, to further</w:t>
      </w:r>
      <w:r w:rsidRPr="0046030A">
        <w:rPr>
          <w:rFonts w:ascii="Cambria" w:hAnsi="Cambria"/>
          <w:sz w:val="20"/>
          <w:szCs w:val="20"/>
        </w:rPr>
        <w:t xml:space="preserve"> </w:t>
      </w:r>
      <w:r w:rsidR="00F50705" w:rsidRPr="0046030A">
        <w:rPr>
          <w:rFonts w:ascii="Cambria" w:hAnsi="Cambria"/>
          <w:sz w:val="20"/>
          <w:szCs w:val="20"/>
        </w:rPr>
        <w:t xml:space="preserve">the compliance with </w:t>
      </w:r>
      <w:r w:rsidRPr="0046030A">
        <w:rPr>
          <w:rFonts w:ascii="Cambria" w:hAnsi="Cambria"/>
          <w:sz w:val="20"/>
          <w:szCs w:val="20"/>
        </w:rPr>
        <w:t xml:space="preserve">the </w:t>
      </w:r>
      <w:r w:rsidR="00F50705" w:rsidRPr="0046030A">
        <w:rPr>
          <w:rFonts w:ascii="Cambria" w:hAnsi="Cambria"/>
          <w:sz w:val="20"/>
          <w:szCs w:val="20"/>
        </w:rPr>
        <w:t xml:space="preserve">measure </w:t>
      </w:r>
      <w:r w:rsidR="00411A89" w:rsidRPr="0046030A">
        <w:rPr>
          <w:rFonts w:ascii="Cambria" w:hAnsi="Cambria"/>
          <w:sz w:val="20"/>
          <w:szCs w:val="20"/>
        </w:rPr>
        <w:t xml:space="preserve">on </w:t>
      </w:r>
      <w:r w:rsidRPr="0046030A">
        <w:rPr>
          <w:rFonts w:ascii="Cambria" w:hAnsi="Cambria"/>
          <w:sz w:val="20"/>
          <w:szCs w:val="20"/>
        </w:rPr>
        <w:t xml:space="preserve">justice established in the second clause of the FSA and in accordance with the route agreed between the parties to move forward with its </w:t>
      </w:r>
      <w:r w:rsidR="00411A89" w:rsidRPr="0046030A">
        <w:rPr>
          <w:rFonts w:ascii="Cambria" w:hAnsi="Cambria"/>
          <w:sz w:val="20"/>
          <w:szCs w:val="20"/>
        </w:rPr>
        <w:t>approval</w:t>
      </w:r>
      <w:r w:rsidR="00F538CE" w:rsidRPr="0046030A">
        <w:rPr>
          <w:rFonts w:ascii="Cambria" w:eastAsia="MS Mincho" w:hAnsi="Cambria"/>
          <w:color w:val="000000"/>
          <w:sz w:val="20"/>
          <w:szCs w:val="20"/>
        </w:rPr>
        <w:t xml:space="preserve">. </w:t>
      </w:r>
    </w:p>
    <w:p w14:paraId="34B1ADB3" w14:textId="77777777" w:rsidR="00F538CE" w:rsidRPr="0046030A" w:rsidRDefault="00F538CE" w:rsidP="00F538CE">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jc w:val="both"/>
        <w:rPr>
          <w:rFonts w:ascii="Cambria" w:hAnsi="Cambria"/>
          <w:sz w:val="20"/>
          <w:szCs w:val="20"/>
        </w:rPr>
      </w:pPr>
    </w:p>
    <w:p w14:paraId="1F618D36" w14:textId="6711F6C7" w:rsidR="00F538CE" w:rsidRPr="0046030A" w:rsidRDefault="00C96447"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Style w:val="ui-provider"/>
          <w:rFonts w:ascii="Cambria" w:hAnsi="Cambria"/>
          <w:sz w:val="20"/>
          <w:szCs w:val="20"/>
        </w:rPr>
      </w:pPr>
      <w:r w:rsidRPr="0046030A">
        <w:rPr>
          <w:rFonts w:ascii="Cambria" w:hAnsi="Cambria"/>
          <w:sz w:val="20"/>
          <w:szCs w:val="20"/>
        </w:rPr>
        <w:t xml:space="preserve">On the other hand, with regard to the search for Mr. Pineda Henestrosa, on February 20, 2023, the petitioner sent information related to a request addressed to the </w:t>
      </w:r>
      <w:r w:rsidR="00411A89" w:rsidRPr="0046030A">
        <w:rPr>
          <w:rFonts w:ascii="Cambria" w:hAnsi="Cambria"/>
          <w:sz w:val="20"/>
          <w:szCs w:val="20"/>
        </w:rPr>
        <w:t xml:space="preserve">Office of the Public Prosecutor </w:t>
      </w:r>
      <w:r w:rsidRPr="0046030A">
        <w:rPr>
          <w:rFonts w:ascii="Cambria" w:hAnsi="Cambria"/>
          <w:sz w:val="20"/>
          <w:szCs w:val="20"/>
        </w:rPr>
        <w:t>on April 20, 2022, proposing concrete actions to move forward with the search, investigation, and determination of responsibility</w:t>
      </w:r>
      <w:r w:rsidR="00411A89" w:rsidRPr="0046030A">
        <w:rPr>
          <w:rFonts w:ascii="Cambria" w:hAnsi="Cambria"/>
          <w:sz w:val="20"/>
          <w:szCs w:val="20"/>
        </w:rPr>
        <w:t xml:space="preserve">. In </w:t>
      </w:r>
      <w:r w:rsidR="00944C82" w:rsidRPr="0046030A">
        <w:rPr>
          <w:rFonts w:ascii="Cambria" w:hAnsi="Cambria"/>
          <w:sz w:val="20"/>
          <w:szCs w:val="20"/>
        </w:rPr>
        <w:t>addition to the information sent</w:t>
      </w:r>
      <w:r w:rsidRPr="0046030A">
        <w:rPr>
          <w:rFonts w:ascii="Cambria" w:hAnsi="Cambria"/>
          <w:sz w:val="20"/>
          <w:szCs w:val="20"/>
        </w:rPr>
        <w:t xml:space="preserve">, </w:t>
      </w:r>
      <w:r w:rsidR="00411A89" w:rsidRPr="0046030A">
        <w:rPr>
          <w:rFonts w:ascii="Cambria" w:hAnsi="Cambria"/>
          <w:sz w:val="20"/>
          <w:szCs w:val="20"/>
        </w:rPr>
        <w:t xml:space="preserve">they </w:t>
      </w:r>
      <w:r w:rsidRPr="0046030A">
        <w:rPr>
          <w:rFonts w:ascii="Cambria" w:hAnsi="Cambria"/>
          <w:sz w:val="20"/>
          <w:szCs w:val="20"/>
        </w:rPr>
        <w:t xml:space="preserve">provided the report that was sent to </w:t>
      </w:r>
      <w:r w:rsidR="00411A89" w:rsidRPr="0046030A">
        <w:rPr>
          <w:rFonts w:ascii="Cambria" w:hAnsi="Cambria"/>
          <w:sz w:val="20"/>
          <w:szCs w:val="20"/>
        </w:rPr>
        <w:t>them</w:t>
      </w:r>
      <w:r w:rsidRPr="0046030A">
        <w:rPr>
          <w:rFonts w:ascii="Cambria" w:hAnsi="Cambria"/>
          <w:sz w:val="20"/>
          <w:szCs w:val="20"/>
        </w:rPr>
        <w:t xml:space="preserve"> by the State on August 10, 2022 with respect to specific proceedings that were conducted for the construction and exhaustion of the line of investigation and search for the whereabouts, and by virtue of which, it was informed to the petitioner that: i. A search was conducted in the antemortem/postmortem database using query and matching tools to identify missing persons and the hypothesis of identification of the victim was ruled out; ii. The genetic profile of the family group of the missing person was compared with the genetic profiles recorded in the index of unidentified bodies, and the result was negative; iii. Inter-institutional coordination actions were carried out to guide the </w:t>
      </w:r>
      <w:r w:rsidR="00944C82" w:rsidRPr="0046030A">
        <w:rPr>
          <w:rFonts w:ascii="Cambria" w:hAnsi="Cambria"/>
          <w:sz w:val="20"/>
          <w:szCs w:val="20"/>
        </w:rPr>
        <w:t xml:space="preserve">furthering </w:t>
      </w:r>
      <w:r w:rsidRPr="0046030A">
        <w:rPr>
          <w:rFonts w:ascii="Cambria" w:hAnsi="Cambria"/>
          <w:sz w:val="20"/>
          <w:szCs w:val="20"/>
        </w:rPr>
        <w:t>of the actions proposed by the petitioner and the status of such actions and the results achieved so far were shared with the public</w:t>
      </w:r>
      <w:r w:rsidR="00F538CE" w:rsidRPr="0046030A">
        <w:rPr>
          <w:rStyle w:val="ui-provider"/>
          <w:rFonts w:ascii="Cambria" w:hAnsi="Cambria"/>
          <w:sz w:val="20"/>
          <w:szCs w:val="20"/>
        </w:rPr>
        <w:t>.</w:t>
      </w:r>
    </w:p>
    <w:p w14:paraId="7C731AA5" w14:textId="77777777" w:rsidR="00F538CE" w:rsidRPr="0046030A" w:rsidRDefault="00F538CE" w:rsidP="00F538CE">
      <w:pPr>
        <w:rPr>
          <w:sz w:val="20"/>
          <w:szCs w:val="20"/>
        </w:rPr>
      </w:pPr>
    </w:p>
    <w:p w14:paraId="66D21776" w14:textId="38991057" w:rsidR="00F538CE" w:rsidRPr="0046030A" w:rsidRDefault="00C96447"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46030A">
        <w:rPr>
          <w:rFonts w:ascii="Cambria" w:hAnsi="Cambria"/>
          <w:sz w:val="20"/>
          <w:szCs w:val="20"/>
        </w:rPr>
        <w:t xml:space="preserve">Subsequently, on April 19, 2023, the State </w:t>
      </w:r>
      <w:r w:rsidR="00351FE3" w:rsidRPr="0046030A">
        <w:rPr>
          <w:rFonts w:ascii="Cambria" w:hAnsi="Cambria"/>
          <w:sz w:val="20"/>
          <w:szCs w:val="20"/>
        </w:rPr>
        <w:t>held</w:t>
      </w:r>
      <w:r w:rsidRPr="0046030A">
        <w:rPr>
          <w:rFonts w:ascii="Cambria" w:hAnsi="Cambria"/>
          <w:sz w:val="20"/>
          <w:szCs w:val="20"/>
        </w:rPr>
        <w:t xml:space="preserve"> that</w:t>
      </w:r>
      <w:r w:rsidR="00944C82" w:rsidRPr="0046030A">
        <w:rPr>
          <w:rFonts w:ascii="Cambria" w:hAnsi="Cambria"/>
          <w:sz w:val="20"/>
          <w:szCs w:val="20"/>
        </w:rPr>
        <w:t>,</w:t>
      </w:r>
      <w:r w:rsidRPr="0046030A">
        <w:rPr>
          <w:rFonts w:ascii="Cambria" w:hAnsi="Cambria"/>
          <w:sz w:val="20"/>
          <w:szCs w:val="20"/>
        </w:rPr>
        <w:t xml:space="preserve"> through the Office of the Attorney General of the Republic, the </w:t>
      </w:r>
      <w:r w:rsidR="00944C82" w:rsidRPr="0046030A">
        <w:rPr>
          <w:rFonts w:ascii="Cambria" w:hAnsi="Cambria"/>
          <w:sz w:val="20"/>
          <w:szCs w:val="20"/>
        </w:rPr>
        <w:t>Office of the Public Prosecutor</w:t>
      </w:r>
      <w:r w:rsidRPr="0046030A">
        <w:rPr>
          <w:rFonts w:ascii="Cambria" w:hAnsi="Cambria"/>
          <w:sz w:val="20"/>
          <w:szCs w:val="20"/>
        </w:rPr>
        <w:t xml:space="preserve"> in charge of the integration of the investigation has attended to the </w:t>
      </w:r>
      <w:r w:rsidR="00BC7EE9" w:rsidRPr="0046030A">
        <w:rPr>
          <w:rFonts w:ascii="Cambria" w:hAnsi="Cambria"/>
          <w:sz w:val="20"/>
          <w:szCs w:val="20"/>
        </w:rPr>
        <w:t xml:space="preserve">family of the victim </w:t>
      </w:r>
      <w:r w:rsidRPr="0046030A">
        <w:rPr>
          <w:rFonts w:ascii="Cambria" w:hAnsi="Cambria"/>
          <w:sz w:val="20"/>
          <w:szCs w:val="20"/>
        </w:rPr>
        <w:t>at all times, making available access to the investigation in compliance with their constitutional rights. In this regard, the State specified that the participation of the Coordination of International Affairs and Attaché Offices of the Attorney General</w:t>
      </w:r>
      <w:r w:rsidR="000B711D" w:rsidRPr="0046030A">
        <w:rPr>
          <w:rFonts w:ascii="Cambria" w:hAnsi="Cambria"/>
          <w:sz w:val="20"/>
          <w:szCs w:val="20"/>
        </w:rPr>
        <w:t xml:space="preserve"> Office of the Republic</w:t>
      </w:r>
      <w:r w:rsidRPr="0046030A">
        <w:rPr>
          <w:rFonts w:ascii="Cambria" w:hAnsi="Cambria"/>
          <w:sz w:val="20"/>
          <w:szCs w:val="20"/>
        </w:rPr>
        <w:t xml:space="preserve"> will continue to be the channel of communication regarding the case. It reiterated that the investigation into the disappearance is currently underway and is classified and confidential. The State added, in general </w:t>
      </w:r>
      <w:r w:rsidR="00BC7EE9" w:rsidRPr="0046030A">
        <w:rPr>
          <w:rFonts w:ascii="Cambria" w:hAnsi="Cambria"/>
          <w:sz w:val="20"/>
          <w:szCs w:val="20"/>
        </w:rPr>
        <w:t>terms</w:t>
      </w:r>
      <w:r w:rsidRPr="0046030A">
        <w:rPr>
          <w:rFonts w:ascii="Cambria" w:hAnsi="Cambria"/>
          <w:sz w:val="20"/>
          <w:szCs w:val="20"/>
        </w:rPr>
        <w:t>, that several steps have been taken among State agencies, such as the General Directorate of Human Rights Strategies of the Ministry of the Interior, in charge of the Commission for Access to Truth and Historical Clarification and the Promotion of Justice for Human Rights violations, with the purpose of obtaining the necessary considerations to promote investigati</w:t>
      </w:r>
      <w:r w:rsidR="00BC7EE9" w:rsidRPr="0046030A">
        <w:rPr>
          <w:rFonts w:ascii="Cambria" w:hAnsi="Cambria"/>
          <w:sz w:val="20"/>
          <w:szCs w:val="20"/>
        </w:rPr>
        <w:t>ve</w:t>
      </w:r>
      <w:r w:rsidRPr="0046030A">
        <w:rPr>
          <w:rFonts w:ascii="Cambria" w:hAnsi="Cambria"/>
          <w:sz w:val="20"/>
          <w:szCs w:val="20"/>
        </w:rPr>
        <w:t xml:space="preserve"> actions, which were </w:t>
      </w:r>
      <w:r w:rsidR="00BC7EE9" w:rsidRPr="0046030A">
        <w:rPr>
          <w:rFonts w:ascii="Cambria" w:hAnsi="Cambria"/>
          <w:sz w:val="20"/>
          <w:szCs w:val="20"/>
        </w:rPr>
        <w:t xml:space="preserve">conveyed </w:t>
      </w:r>
      <w:r w:rsidRPr="0046030A">
        <w:rPr>
          <w:rFonts w:ascii="Cambria" w:hAnsi="Cambria"/>
          <w:sz w:val="20"/>
          <w:szCs w:val="20"/>
        </w:rPr>
        <w:t>to the representation of the relatives of Víctor Pineda Henestrosa. In addition to the aforementioned, the State stressed that</w:t>
      </w:r>
      <w:r w:rsidR="00BC7EE9" w:rsidRPr="0046030A">
        <w:rPr>
          <w:rFonts w:ascii="Cambria" w:hAnsi="Cambria"/>
          <w:sz w:val="20"/>
          <w:szCs w:val="20"/>
        </w:rPr>
        <w:t>,</w:t>
      </w:r>
      <w:r w:rsidRPr="0046030A">
        <w:rPr>
          <w:rFonts w:ascii="Cambria" w:hAnsi="Cambria"/>
          <w:sz w:val="20"/>
          <w:szCs w:val="20"/>
        </w:rPr>
        <w:t xml:space="preserve"> at present</w:t>
      </w:r>
      <w:r w:rsidR="00BC7EE9" w:rsidRPr="0046030A">
        <w:rPr>
          <w:rFonts w:ascii="Cambria" w:hAnsi="Cambria"/>
          <w:sz w:val="20"/>
          <w:szCs w:val="20"/>
        </w:rPr>
        <w:t>,</w:t>
      </w:r>
      <w:r w:rsidRPr="0046030A">
        <w:rPr>
          <w:rFonts w:ascii="Cambria" w:hAnsi="Cambria"/>
          <w:sz w:val="20"/>
          <w:szCs w:val="20"/>
        </w:rPr>
        <w:t xml:space="preserve"> they are promoting actions to consolidate the coadjutance of the National Commission for the Search of Persons (CNBP)</w:t>
      </w:r>
      <w:r w:rsidR="00F538CE" w:rsidRPr="0046030A">
        <w:rPr>
          <w:rFonts w:ascii="Cambria" w:hAnsi="Cambria"/>
          <w:sz w:val="20"/>
          <w:szCs w:val="20"/>
        </w:rPr>
        <w:t xml:space="preserve">. </w:t>
      </w:r>
    </w:p>
    <w:p w14:paraId="32D60D4C" w14:textId="77777777" w:rsidR="00F538CE" w:rsidRPr="0046030A" w:rsidRDefault="00F538CE" w:rsidP="00F538C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0243CFA" w14:textId="1A634392" w:rsidR="00F538CE" w:rsidRPr="00496BF5" w:rsidRDefault="00C96447"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46030A">
        <w:rPr>
          <w:rFonts w:ascii="Cambria" w:hAnsi="Cambria"/>
          <w:sz w:val="20"/>
          <w:szCs w:val="20"/>
        </w:rPr>
        <w:t>Additionally, on June 21, 2023, the State informed</w:t>
      </w:r>
      <w:r w:rsidR="00BC7EE9" w:rsidRPr="0046030A">
        <w:rPr>
          <w:rFonts w:ascii="Cambria" w:hAnsi="Cambria"/>
          <w:sz w:val="20"/>
          <w:szCs w:val="20"/>
        </w:rPr>
        <w:t>,</w:t>
      </w:r>
      <w:r w:rsidRPr="0046030A">
        <w:rPr>
          <w:rFonts w:ascii="Cambria" w:hAnsi="Cambria"/>
          <w:sz w:val="20"/>
          <w:szCs w:val="20"/>
        </w:rPr>
        <w:t xml:space="preserve"> in a general </w:t>
      </w:r>
      <w:r w:rsidR="00BC7EE9" w:rsidRPr="0046030A">
        <w:rPr>
          <w:rFonts w:ascii="Cambria" w:hAnsi="Cambria"/>
          <w:sz w:val="20"/>
          <w:szCs w:val="20"/>
        </w:rPr>
        <w:t xml:space="preserve">terms </w:t>
      </w:r>
      <w:r w:rsidRPr="0046030A">
        <w:rPr>
          <w:rFonts w:ascii="Cambria" w:hAnsi="Cambria"/>
          <w:sz w:val="20"/>
          <w:szCs w:val="20"/>
        </w:rPr>
        <w:t>and without providing details</w:t>
      </w:r>
      <w:r w:rsidR="00BC7EE9" w:rsidRPr="0046030A">
        <w:rPr>
          <w:rFonts w:ascii="Cambria" w:hAnsi="Cambria"/>
          <w:sz w:val="20"/>
          <w:szCs w:val="20"/>
        </w:rPr>
        <w:t>,</w:t>
      </w:r>
      <w:r w:rsidRPr="0046030A">
        <w:rPr>
          <w:rFonts w:ascii="Cambria" w:hAnsi="Cambria"/>
          <w:sz w:val="20"/>
          <w:szCs w:val="20"/>
        </w:rPr>
        <w:t xml:space="preserve"> that the </w:t>
      </w:r>
      <w:r w:rsidR="00351FE3" w:rsidRPr="0046030A">
        <w:rPr>
          <w:rFonts w:ascii="Cambria" w:hAnsi="Cambria"/>
          <w:sz w:val="20"/>
          <w:szCs w:val="20"/>
        </w:rPr>
        <w:t>Attorney General of the Republic</w:t>
      </w:r>
      <w:r w:rsidRPr="0046030A">
        <w:rPr>
          <w:rFonts w:ascii="Cambria" w:hAnsi="Cambria"/>
          <w:sz w:val="20"/>
          <w:szCs w:val="20"/>
        </w:rPr>
        <w:t xml:space="preserve"> is carrying out proceedings to identify the members of the Mexican Army who participated in the detention of Víctor Pineda Henestrosa and confirmed that it had taken steps with different authorities. Additionally, as part of the schedule of actions for the follow-up during the year 2023, the </w:t>
      </w:r>
      <w:r w:rsidR="00351FE3" w:rsidRPr="0046030A">
        <w:rPr>
          <w:rFonts w:ascii="Cambria" w:hAnsi="Cambria"/>
          <w:sz w:val="20"/>
          <w:szCs w:val="20"/>
        </w:rPr>
        <w:t xml:space="preserve">Attorney General of the Republic </w:t>
      </w:r>
      <w:r w:rsidRPr="0046030A">
        <w:rPr>
          <w:rFonts w:ascii="Cambria" w:hAnsi="Cambria"/>
          <w:sz w:val="20"/>
          <w:szCs w:val="20"/>
        </w:rPr>
        <w:t>proposed to submit biannual reports on the progress of the lines of investigation. Therefore, taking into consideration the information provided by the parties, the Commission considers that the second clause of the agreement, on the investigation of the facts, has a partial level of compliance and so declares</w:t>
      </w:r>
      <w:r w:rsidR="00BC7EE9" w:rsidRPr="0046030A">
        <w:rPr>
          <w:rFonts w:ascii="Cambria" w:hAnsi="Cambria"/>
          <w:sz w:val="20"/>
          <w:szCs w:val="20"/>
        </w:rPr>
        <w:t xml:space="preserve"> it</w:t>
      </w:r>
      <w:r w:rsidRPr="0046030A">
        <w:rPr>
          <w:rFonts w:ascii="Cambria" w:hAnsi="Cambria"/>
          <w:sz w:val="20"/>
          <w:szCs w:val="20"/>
        </w:rPr>
        <w:t>. In this regard, the Commission takes this opportunity to urge the State of Mexico to continue submitting relevant information for the verification of compliance with this measure</w:t>
      </w:r>
      <w:r w:rsidR="00F538CE" w:rsidRPr="0046030A">
        <w:rPr>
          <w:rFonts w:ascii="Cambria" w:eastAsia="MS Mincho" w:hAnsi="Cambria"/>
          <w:color w:val="000000"/>
          <w:sz w:val="20"/>
          <w:szCs w:val="20"/>
        </w:rPr>
        <w:t>.</w:t>
      </w:r>
    </w:p>
    <w:p w14:paraId="0943F241" w14:textId="57DA9004" w:rsidR="00F538CE" w:rsidRPr="0046030A" w:rsidRDefault="00C96447"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46030A">
        <w:rPr>
          <w:rFonts w:ascii="Cambria" w:eastAsia="MS Mincho" w:hAnsi="Cambria"/>
          <w:sz w:val="20"/>
          <w:szCs w:val="20"/>
        </w:rPr>
        <w:lastRenderedPageBreak/>
        <w:t xml:space="preserve">With regard to the third clause on the economic support for the purchase of construction material, furniture and equipment for the Victor Yodo library, the State had not complied with the commitment established in the FSA at the time of the technical meeting held with the parties on January 20, 2022. Therefore, the parties agreed that the SEGOB would explore the necessary mechanisms in order to establish an improvement in its infrastructure; and for the fulfillment of this commitment they agreed that specifically, and prioritized as part of the work </w:t>
      </w:r>
      <w:r w:rsidR="00BC7EE9" w:rsidRPr="0046030A">
        <w:rPr>
          <w:rFonts w:ascii="Cambria" w:eastAsia="MS Mincho" w:hAnsi="Cambria"/>
          <w:sz w:val="20"/>
          <w:szCs w:val="20"/>
        </w:rPr>
        <w:t xml:space="preserve">schedule </w:t>
      </w:r>
      <w:r w:rsidRPr="0046030A">
        <w:rPr>
          <w:rFonts w:ascii="Cambria" w:eastAsia="MS Mincho" w:hAnsi="Cambria"/>
          <w:sz w:val="20"/>
          <w:szCs w:val="20"/>
        </w:rPr>
        <w:t xml:space="preserve">to achieve the </w:t>
      </w:r>
      <w:r w:rsidR="00BC7EE9" w:rsidRPr="0046030A">
        <w:rPr>
          <w:rFonts w:ascii="Cambria" w:eastAsia="MS Mincho" w:hAnsi="Cambria"/>
          <w:sz w:val="20"/>
          <w:szCs w:val="20"/>
        </w:rPr>
        <w:t xml:space="preserve">approval </w:t>
      </w:r>
      <w:r w:rsidRPr="0046030A">
        <w:rPr>
          <w:rFonts w:ascii="Cambria" w:eastAsia="MS Mincho" w:hAnsi="Cambria"/>
          <w:sz w:val="20"/>
          <w:szCs w:val="20"/>
        </w:rPr>
        <w:t>of the FSA, that the State would make a diagnostic visit, for the subsequent granting of an amount, which would allow the repair of the infrastructure of the community library built in memory of Mr. Pineda Henestrosa. Likewise, they agreed that the resources destined to the rehabilitation of the library would be given to Mrs. Cándida Santiago Jimenez</w:t>
      </w:r>
      <w:r w:rsidR="00F538CE" w:rsidRPr="0046030A">
        <w:rPr>
          <w:rFonts w:ascii="Cambria" w:hAnsi="Cambria"/>
          <w:sz w:val="20"/>
          <w:szCs w:val="20"/>
        </w:rPr>
        <w:t xml:space="preserve">. </w:t>
      </w:r>
    </w:p>
    <w:p w14:paraId="0EB15A45" w14:textId="77777777" w:rsidR="00F538CE" w:rsidRPr="0046030A" w:rsidRDefault="00F538CE" w:rsidP="00F538CE">
      <w:pPr>
        <w:pStyle w:val="ListParagraph"/>
        <w:rPr>
          <w:rFonts w:eastAsia="MS Mincho"/>
          <w:sz w:val="20"/>
          <w:szCs w:val="20"/>
        </w:rPr>
      </w:pPr>
    </w:p>
    <w:p w14:paraId="44E0C2D4" w14:textId="155D39C1" w:rsidR="00F538CE" w:rsidRPr="0046030A" w:rsidRDefault="00C96447"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lang w:val="es-CO"/>
        </w:rPr>
      </w:pPr>
      <w:r w:rsidRPr="0046030A">
        <w:rPr>
          <w:rFonts w:ascii="Cambria" w:eastAsia="MS Mincho" w:hAnsi="Cambria"/>
          <w:color w:val="000000"/>
          <w:sz w:val="20"/>
          <w:szCs w:val="20"/>
        </w:rPr>
        <w:t>In this regard, on October 18, 2022, the State submitted a letter informing that on July 1, 2022, a visit was made to the library in which the needs for improvement of the building were identified. Among the main needs identified during the visit, the State referred to the following: 1. Replacement of the door connecting the upper floor; 2. Handrail on the staircase leading to the upper floor; 3. Replacement of the lighting dome on the upper floor in order to prevent water from seeping in; 4. Corrective and preventive attention to the walls on both levels, especially cracks and humidity; 5. Waterproofing of roofs and repair of leaks and humidity; 6. Replacement of ceiling fans and lamps for proper lighting of the space; 7. Change or repair of the electrical installation to meet the energy requirements of the computer and printing equipment; 9. Maintenance or renovation of bathroom furniture (WC and sink); 12. Renovation of the entire computer equipment due to its age; 13</w:t>
      </w:r>
      <w:r w:rsidR="00F538CE" w:rsidRPr="0046030A">
        <w:rPr>
          <w:rFonts w:ascii="Cambria" w:hAnsi="Cambria"/>
          <w:sz w:val="20"/>
          <w:szCs w:val="20"/>
        </w:rPr>
        <w:t xml:space="preserve">. </w:t>
      </w:r>
      <w:r w:rsidRPr="0046030A">
        <w:rPr>
          <w:rFonts w:ascii="Cambria" w:hAnsi="Cambria"/>
          <w:sz w:val="20"/>
          <w:szCs w:val="20"/>
        </w:rPr>
        <w:t>Didactic materials; 14. Reference books for various levels of education; 15</w:t>
      </w:r>
      <w:r w:rsidR="00F538CE" w:rsidRPr="0046030A">
        <w:rPr>
          <w:rFonts w:ascii="Cambria" w:hAnsi="Cambria"/>
          <w:sz w:val="20"/>
          <w:szCs w:val="20"/>
        </w:rPr>
        <w:t xml:space="preserve">. </w:t>
      </w:r>
      <w:r w:rsidR="00610F29" w:rsidRPr="0046030A">
        <w:rPr>
          <w:rFonts w:ascii="Cambria" w:hAnsi="Cambria"/>
          <w:sz w:val="20"/>
          <w:szCs w:val="20"/>
        </w:rPr>
        <w:t xml:space="preserve">Adequate furniture for computer equipment; 16. </w:t>
      </w:r>
      <w:r w:rsidR="00610F29" w:rsidRPr="0046030A">
        <w:rPr>
          <w:rFonts w:ascii="Cambria" w:hAnsi="Cambria"/>
          <w:sz w:val="20"/>
          <w:szCs w:val="20"/>
          <w:lang w:val="es-CO"/>
        </w:rPr>
        <w:t>Furniture such as tables and chairs</w:t>
      </w:r>
      <w:r w:rsidR="00BC7EE9" w:rsidRPr="0046030A">
        <w:rPr>
          <w:rFonts w:ascii="Cambria" w:hAnsi="Cambria"/>
          <w:sz w:val="20"/>
          <w:szCs w:val="20"/>
          <w:lang w:val="es-CO"/>
        </w:rPr>
        <w:t>;</w:t>
      </w:r>
      <w:r w:rsidR="00610F29" w:rsidRPr="0046030A">
        <w:rPr>
          <w:rFonts w:ascii="Cambria" w:hAnsi="Cambria"/>
          <w:sz w:val="20"/>
          <w:szCs w:val="20"/>
          <w:lang w:val="es-CO"/>
        </w:rPr>
        <w:t xml:space="preserve"> and 17.</w:t>
      </w:r>
      <w:r w:rsidR="00F538CE" w:rsidRPr="0046030A">
        <w:rPr>
          <w:rFonts w:ascii="Cambria" w:hAnsi="Cambria"/>
          <w:sz w:val="20"/>
          <w:szCs w:val="20"/>
          <w:lang w:val="es-CO"/>
        </w:rPr>
        <w:t xml:space="preserve"> </w:t>
      </w:r>
      <w:r w:rsidR="00610F29" w:rsidRPr="0046030A">
        <w:rPr>
          <w:rFonts w:ascii="Cambria" w:hAnsi="Cambria"/>
          <w:sz w:val="20"/>
          <w:szCs w:val="20"/>
          <w:lang w:val="es-CO"/>
        </w:rPr>
        <w:t>Renovate bookshelf</w:t>
      </w:r>
      <w:r w:rsidR="00F538CE" w:rsidRPr="0046030A">
        <w:rPr>
          <w:rFonts w:ascii="Cambria" w:hAnsi="Cambria"/>
          <w:sz w:val="20"/>
          <w:szCs w:val="20"/>
          <w:lang w:val="es-CO"/>
        </w:rPr>
        <w:t>.</w:t>
      </w:r>
    </w:p>
    <w:p w14:paraId="7D9F0B54" w14:textId="77777777" w:rsidR="00F538CE" w:rsidRPr="0046030A" w:rsidRDefault="00F538CE" w:rsidP="00F538C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CO"/>
        </w:rPr>
      </w:pPr>
    </w:p>
    <w:p w14:paraId="5982829C" w14:textId="075C8E38" w:rsidR="00F538CE" w:rsidRPr="0046030A" w:rsidRDefault="00610F29"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46030A">
        <w:rPr>
          <w:rFonts w:ascii="Cambria" w:eastAsia="MS Mincho" w:hAnsi="Cambria"/>
          <w:color w:val="000000"/>
          <w:sz w:val="20"/>
          <w:szCs w:val="20"/>
        </w:rPr>
        <w:t>Subsequently, on December 23, 2022, the State informed that on December 19, 2022, the Technical Committee of the Trust approved the transfer of the amount of $250,000.00 (two hundred and fifty thousand pesos 00/100 M.N.) in favor of Mrs. Cándida Santiago Jiménez, to be applied to the strengthening of the Community Library. In this regard, on February 21, 2023, the petitioners indicated that although they welcomed the decision adopted by the Technical Committee of the Trust and the efforts made by the UDDH-SEGOB, the transfer of the funds had not yet been completed due to the lack of liquidity of the Trust. Therefore, the petitioners requested the Commission to verify the effective disbursement of said amount prior to the homologation of the agreement</w:t>
      </w:r>
      <w:r w:rsidR="00F538CE" w:rsidRPr="0046030A">
        <w:rPr>
          <w:rFonts w:ascii="Cambria" w:eastAsia="MS Mincho" w:hAnsi="Cambria"/>
          <w:sz w:val="20"/>
          <w:szCs w:val="20"/>
        </w:rPr>
        <w:t xml:space="preserve">. </w:t>
      </w:r>
    </w:p>
    <w:p w14:paraId="7ED9867D" w14:textId="77777777" w:rsidR="00F538CE" w:rsidRPr="0046030A" w:rsidRDefault="00F538CE" w:rsidP="00F538CE">
      <w:pPr>
        <w:pStyle w:val="ListParagraph"/>
        <w:rPr>
          <w:rFonts w:eastAsia="MS Mincho"/>
          <w:sz w:val="20"/>
          <w:szCs w:val="20"/>
        </w:rPr>
      </w:pPr>
    </w:p>
    <w:p w14:paraId="7A097838" w14:textId="76D3C038" w:rsidR="00F538CE" w:rsidRPr="0046030A" w:rsidRDefault="00610F29"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46030A">
        <w:rPr>
          <w:rFonts w:ascii="Cambria" w:eastAsia="MS Mincho" w:hAnsi="Cambria"/>
          <w:color w:val="000000"/>
          <w:sz w:val="20"/>
          <w:szCs w:val="20"/>
        </w:rPr>
        <w:t>On March 22, 2023, the State sent proof that the transfer, in the amount of 250,000 (two hundred and fifty thousand pesos 00/100 M.N.), was made on March 13, 2023, to Mrs. Cándida Santiago Jiménez, in accordance with the agreed terms. Said information was made known to the petitioner on June 25, 2023. Therefore, taking into consideration the information provided by the parties, the Commission considers that this aspect of the agreement has been fully complied with and so declares</w:t>
      </w:r>
      <w:r w:rsidR="005E10DF" w:rsidRPr="0046030A">
        <w:rPr>
          <w:rFonts w:ascii="Cambria" w:eastAsia="MS Mincho" w:hAnsi="Cambria"/>
          <w:color w:val="000000"/>
          <w:sz w:val="20"/>
          <w:szCs w:val="20"/>
        </w:rPr>
        <w:t xml:space="preserve"> it</w:t>
      </w:r>
      <w:r w:rsidR="00F538CE" w:rsidRPr="0046030A">
        <w:rPr>
          <w:rFonts w:ascii="Cambria" w:eastAsia="MS Mincho" w:hAnsi="Cambria"/>
          <w:sz w:val="20"/>
          <w:szCs w:val="20"/>
        </w:rPr>
        <w:t>.</w:t>
      </w:r>
    </w:p>
    <w:p w14:paraId="585604A3" w14:textId="77777777" w:rsidR="00F538CE" w:rsidRPr="0046030A" w:rsidRDefault="00F538CE" w:rsidP="00F538CE">
      <w:pPr>
        <w:rPr>
          <w:rFonts w:eastAsia="MS Mincho"/>
          <w:sz w:val="20"/>
          <w:szCs w:val="20"/>
        </w:rPr>
      </w:pPr>
    </w:p>
    <w:p w14:paraId="76FCCAA3" w14:textId="0C7DABA0" w:rsidR="00F538CE" w:rsidRPr="0046030A" w:rsidRDefault="00610F29"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sidRPr="0046030A">
        <w:rPr>
          <w:rFonts w:ascii="Cambria" w:eastAsia="MS Mincho" w:hAnsi="Cambria"/>
          <w:color w:val="000000"/>
          <w:sz w:val="20"/>
          <w:szCs w:val="20"/>
        </w:rPr>
        <w:t xml:space="preserve">With respect to the willingness of the parties in the agreement or subsequent written communication, as mentioned above, there is no clause in the FSA that makes the approval of the FSA conditional upon full compliance with the agreement. Likewise, it is noted that the State requested the Commission to make a decision on the </w:t>
      </w:r>
      <w:r w:rsidR="005E10DF" w:rsidRPr="0046030A">
        <w:rPr>
          <w:rFonts w:ascii="Cambria" w:eastAsia="MS Mincho" w:hAnsi="Cambria"/>
          <w:color w:val="000000"/>
          <w:sz w:val="20"/>
          <w:szCs w:val="20"/>
        </w:rPr>
        <w:t xml:space="preserve">approval </w:t>
      </w:r>
      <w:r w:rsidRPr="0046030A">
        <w:rPr>
          <w:rFonts w:ascii="Cambria" w:eastAsia="MS Mincho" w:hAnsi="Cambria"/>
          <w:color w:val="000000"/>
          <w:sz w:val="20"/>
          <w:szCs w:val="20"/>
        </w:rPr>
        <w:t>of the FSA on July 16, 2021</w:t>
      </w:r>
      <w:r w:rsidR="005E10DF" w:rsidRPr="0046030A">
        <w:rPr>
          <w:rFonts w:ascii="Cambria" w:eastAsia="MS Mincho" w:hAnsi="Cambria"/>
          <w:color w:val="000000"/>
          <w:sz w:val="20"/>
          <w:szCs w:val="20"/>
        </w:rPr>
        <w:t>;</w:t>
      </w:r>
      <w:r w:rsidRPr="0046030A">
        <w:rPr>
          <w:rFonts w:ascii="Cambria" w:eastAsia="MS Mincho" w:hAnsi="Cambria"/>
          <w:color w:val="000000"/>
          <w:sz w:val="20"/>
          <w:szCs w:val="20"/>
        </w:rPr>
        <w:t xml:space="preserve"> October 18, 2022</w:t>
      </w:r>
      <w:r w:rsidR="005E10DF" w:rsidRPr="0046030A">
        <w:rPr>
          <w:rFonts w:ascii="Cambria" w:eastAsia="MS Mincho" w:hAnsi="Cambria"/>
          <w:color w:val="000000"/>
          <w:sz w:val="20"/>
          <w:szCs w:val="20"/>
        </w:rPr>
        <w:t>;</w:t>
      </w:r>
      <w:r w:rsidRPr="0046030A">
        <w:rPr>
          <w:rFonts w:ascii="Cambria" w:eastAsia="MS Mincho" w:hAnsi="Cambria"/>
          <w:color w:val="000000"/>
          <w:sz w:val="20"/>
          <w:szCs w:val="20"/>
        </w:rPr>
        <w:t xml:space="preserve"> April 19 and June 21, 2023. This information was brought to the attention of the petitioner at the time, without the latter indicating its willingness to conclude the friendly settlement process</w:t>
      </w:r>
      <w:r w:rsidR="00F538CE" w:rsidRPr="0046030A">
        <w:rPr>
          <w:rFonts w:ascii="Cambria" w:eastAsia="MS Mincho" w:hAnsi="Cambria"/>
          <w:sz w:val="20"/>
          <w:szCs w:val="20"/>
        </w:rPr>
        <w:t xml:space="preserve">. </w:t>
      </w:r>
    </w:p>
    <w:p w14:paraId="5AF6BEDB" w14:textId="77777777" w:rsidR="00F538CE" w:rsidRPr="0046030A" w:rsidRDefault="00F538CE" w:rsidP="00F538CE">
      <w:pPr>
        <w:pStyle w:val="ListParagraph"/>
        <w:rPr>
          <w:rFonts w:eastAsia="MS Mincho"/>
          <w:sz w:val="20"/>
          <w:szCs w:val="20"/>
        </w:rPr>
      </w:pPr>
    </w:p>
    <w:p w14:paraId="4704CA46" w14:textId="5F731B9B" w:rsidR="00F538CE" w:rsidRPr="0046030A" w:rsidRDefault="00610F29"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sidRPr="0046030A">
        <w:rPr>
          <w:rFonts w:ascii="Cambria" w:eastAsia="MS Mincho" w:hAnsi="Cambria"/>
          <w:sz w:val="20"/>
          <w:szCs w:val="20"/>
        </w:rPr>
        <w:t xml:space="preserve">At the same time, it should be noted that the Commission notified the petitioning party of Resolution 3/20 for the first time on May 5, 2020, expressly requesting </w:t>
      </w:r>
      <w:r w:rsidR="005E10DF" w:rsidRPr="0046030A">
        <w:rPr>
          <w:rFonts w:ascii="Cambria" w:eastAsia="MS Mincho" w:hAnsi="Cambria"/>
          <w:sz w:val="20"/>
          <w:szCs w:val="20"/>
        </w:rPr>
        <w:t xml:space="preserve">them </w:t>
      </w:r>
      <w:r w:rsidRPr="0046030A">
        <w:rPr>
          <w:rFonts w:ascii="Cambria" w:eastAsia="MS Mincho" w:hAnsi="Cambria"/>
          <w:sz w:val="20"/>
          <w:szCs w:val="20"/>
        </w:rPr>
        <w:t xml:space="preserve">to indicate </w:t>
      </w:r>
      <w:r w:rsidR="005E10DF" w:rsidRPr="0046030A">
        <w:rPr>
          <w:rFonts w:ascii="Cambria" w:eastAsia="MS Mincho" w:hAnsi="Cambria"/>
          <w:sz w:val="20"/>
          <w:szCs w:val="20"/>
        </w:rPr>
        <w:t xml:space="preserve">their </w:t>
      </w:r>
      <w:r w:rsidRPr="0046030A">
        <w:rPr>
          <w:rFonts w:ascii="Cambria" w:eastAsia="MS Mincho" w:hAnsi="Cambria"/>
          <w:sz w:val="20"/>
          <w:szCs w:val="20"/>
        </w:rPr>
        <w:t xml:space="preserve">position on the approval or closure of the negotiating space. In this regard, the petitioner requested 3 extensions, which were granted at the time, without the Commission receiving the corresponding indications. Almost two years after the Commission requested the petitioner's position, the petitioner requested a work meeting to generate the conditions for an eventual approval of the FSA. This space for dialogue was held on January 20, 20222 , in which the parties agreed on the execution of three prioritized actions to analyze the </w:t>
      </w:r>
      <w:r w:rsidR="005E10DF" w:rsidRPr="0046030A">
        <w:rPr>
          <w:rFonts w:ascii="Cambria" w:eastAsia="MS Mincho" w:hAnsi="Cambria"/>
          <w:sz w:val="20"/>
          <w:szCs w:val="20"/>
        </w:rPr>
        <w:t xml:space="preserve">approval </w:t>
      </w:r>
      <w:r w:rsidRPr="0046030A">
        <w:rPr>
          <w:rFonts w:ascii="Cambria" w:eastAsia="MS Mincho" w:hAnsi="Cambria"/>
          <w:sz w:val="20"/>
          <w:szCs w:val="20"/>
        </w:rPr>
        <w:t>and which were fulfilled by the State</w:t>
      </w:r>
      <w:r w:rsidR="00F538CE" w:rsidRPr="0046030A">
        <w:rPr>
          <w:rFonts w:ascii="Cambria" w:eastAsia="MS Mincho" w:hAnsi="Cambria"/>
          <w:sz w:val="20"/>
          <w:szCs w:val="20"/>
        </w:rPr>
        <w:t xml:space="preserve">. </w:t>
      </w:r>
    </w:p>
    <w:p w14:paraId="1DD0BCCB" w14:textId="77777777" w:rsidR="00F538CE" w:rsidRPr="0046030A" w:rsidRDefault="00F538CE" w:rsidP="00F538CE">
      <w:pPr>
        <w:pStyle w:val="ListParagraph"/>
        <w:rPr>
          <w:rFonts w:eastAsia="MS Mincho"/>
          <w:sz w:val="20"/>
          <w:szCs w:val="20"/>
        </w:rPr>
      </w:pPr>
    </w:p>
    <w:p w14:paraId="6BE777A8" w14:textId="58B93B5A" w:rsidR="00F538CE" w:rsidRPr="0046030A" w:rsidRDefault="00610F29"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sidRPr="0046030A">
        <w:rPr>
          <w:rFonts w:ascii="Cambria" w:eastAsia="MS Mincho" w:hAnsi="Cambria"/>
          <w:sz w:val="20"/>
          <w:szCs w:val="20"/>
        </w:rPr>
        <w:t xml:space="preserve">Subsequently, on January 21, 2023, the Commission reiterated to the petitioner the need to adopt a decision regarding the course of action of the negotiation process in light of Resolution 3/20, expressly </w:t>
      </w:r>
      <w:r w:rsidRPr="0046030A">
        <w:rPr>
          <w:rFonts w:ascii="Cambria" w:eastAsia="MS Mincho" w:hAnsi="Cambria"/>
          <w:sz w:val="20"/>
          <w:szCs w:val="20"/>
        </w:rPr>
        <w:lastRenderedPageBreak/>
        <w:t xml:space="preserve">requesting that </w:t>
      </w:r>
      <w:r w:rsidR="005E10DF" w:rsidRPr="0046030A">
        <w:rPr>
          <w:rFonts w:ascii="Cambria" w:eastAsia="MS Mincho" w:hAnsi="Cambria"/>
          <w:sz w:val="20"/>
          <w:szCs w:val="20"/>
        </w:rPr>
        <w:t xml:space="preserve">they </w:t>
      </w:r>
      <w:r w:rsidRPr="0046030A">
        <w:rPr>
          <w:rFonts w:ascii="Cambria" w:eastAsia="MS Mincho" w:hAnsi="Cambria"/>
          <w:sz w:val="20"/>
          <w:szCs w:val="20"/>
        </w:rPr>
        <w:t xml:space="preserve">indicate </w:t>
      </w:r>
      <w:r w:rsidR="005E10DF" w:rsidRPr="0046030A">
        <w:rPr>
          <w:rFonts w:ascii="Cambria" w:eastAsia="MS Mincho" w:hAnsi="Cambria"/>
          <w:sz w:val="20"/>
          <w:szCs w:val="20"/>
        </w:rPr>
        <w:t xml:space="preserve">their </w:t>
      </w:r>
      <w:r w:rsidRPr="0046030A">
        <w:rPr>
          <w:rFonts w:ascii="Cambria" w:eastAsia="MS Mincho" w:hAnsi="Cambria"/>
          <w:sz w:val="20"/>
          <w:szCs w:val="20"/>
        </w:rPr>
        <w:t xml:space="preserve">agreement with the issuance of the </w:t>
      </w:r>
      <w:r w:rsidR="005E10DF" w:rsidRPr="0046030A">
        <w:rPr>
          <w:rFonts w:ascii="Cambria" w:eastAsia="MS Mincho" w:hAnsi="Cambria"/>
          <w:sz w:val="20"/>
          <w:szCs w:val="20"/>
        </w:rPr>
        <w:t xml:space="preserve">approval </w:t>
      </w:r>
      <w:r w:rsidRPr="0046030A">
        <w:rPr>
          <w:rFonts w:ascii="Cambria" w:eastAsia="MS Mincho" w:hAnsi="Cambria"/>
          <w:sz w:val="20"/>
          <w:szCs w:val="20"/>
        </w:rPr>
        <w:t xml:space="preserve">report or, </w:t>
      </w:r>
      <w:r w:rsidR="005E10DF" w:rsidRPr="0046030A">
        <w:rPr>
          <w:rFonts w:ascii="Cambria" w:eastAsia="MS Mincho" w:hAnsi="Cambria"/>
          <w:sz w:val="20"/>
          <w:szCs w:val="20"/>
        </w:rPr>
        <w:t>alternatively</w:t>
      </w:r>
      <w:r w:rsidRPr="0046030A">
        <w:rPr>
          <w:rFonts w:ascii="Cambria" w:eastAsia="MS Mincho" w:hAnsi="Cambria"/>
          <w:sz w:val="20"/>
          <w:szCs w:val="20"/>
        </w:rPr>
        <w:t xml:space="preserve">, </w:t>
      </w:r>
      <w:r w:rsidR="005E10DF" w:rsidRPr="0046030A">
        <w:rPr>
          <w:rFonts w:ascii="Cambria" w:eastAsia="MS Mincho" w:hAnsi="Cambria"/>
          <w:sz w:val="20"/>
          <w:szCs w:val="20"/>
        </w:rPr>
        <w:t xml:space="preserve">their </w:t>
      </w:r>
      <w:r w:rsidRPr="0046030A">
        <w:rPr>
          <w:rFonts w:ascii="Cambria" w:eastAsia="MS Mincho" w:hAnsi="Cambria"/>
          <w:sz w:val="20"/>
          <w:szCs w:val="20"/>
        </w:rPr>
        <w:t xml:space="preserve">willingness to conclude the friendly settlement process and continue with the litigation of the case in the contentious </w:t>
      </w:r>
      <w:r w:rsidR="009838AB" w:rsidRPr="0046030A">
        <w:rPr>
          <w:rFonts w:ascii="Cambria" w:eastAsia="MS Mincho" w:hAnsi="Cambria"/>
          <w:sz w:val="20"/>
          <w:szCs w:val="20"/>
        </w:rPr>
        <w:t>arena</w:t>
      </w:r>
      <w:r w:rsidRPr="0046030A">
        <w:rPr>
          <w:rFonts w:ascii="Cambria" w:eastAsia="MS Mincho" w:hAnsi="Cambria"/>
          <w:sz w:val="20"/>
          <w:szCs w:val="20"/>
        </w:rPr>
        <w:t xml:space="preserve">. In this regard, on February 21, 2023, the petitioner indicated its agreement with the </w:t>
      </w:r>
      <w:r w:rsidR="005E10DF" w:rsidRPr="0046030A">
        <w:rPr>
          <w:rFonts w:ascii="Cambria" w:eastAsia="MS Mincho" w:hAnsi="Cambria"/>
          <w:sz w:val="20"/>
          <w:szCs w:val="20"/>
        </w:rPr>
        <w:t xml:space="preserve">approval </w:t>
      </w:r>
      <w:r w:rsidRPr="0046030A">
        <w:rPr>
          <w:rFonts w:ascii="Cambria" w:eastAsia="MS Mincho" w:hAnsi="Cambria"/>
          <w:sz w:val="20"/>
          <w:szCs w:val="20"/>
        </w:rPr>
        <w:t>after verification of the disbursement of the amount established in the third clause of the FSA with the prior holding of a new space for dialogue with the facilitation of the Commission</w:t>
      </w:r>
      <w:r w:rsidR="00F538CE" w:rsidRPr="0046030A">
        <w:rPr>
          <w:rFonts w:ascii="Cambria" w:eastAsia="MS Mincho" w:hAnsi="Cambria"/>
          <w:sz w:val="20"/>
          <w:szCs w:val="20"/>
        </w:rPr>
        <w:t xml:space="preserve">. </w:t>
      </w:r>
    </w:p>
    <w:p w14:paraId="29E665EA" w14:textId="77777777" w:rsidR="00F538CE" w:rsidRPr="0046030A" w:rsidRDefault="00F538CE" w:rsidP="00F538CE">
      <w:pPr>
        <w:pStyle w:val="ListParagraph"/>
        <w:rPr>
          <w:rFonts w:eastAsia="MS Mincho"/>
          <w:sz w:val="20"/>
          <w:szCs w:val="20"/>
        </w:rPr>
      </w:pPr>
    </w:p>
    <w:p w14:paraId="06E07B7B" w14:textId="01AD8C72" w:rsidR="00F538CE" w:rsidRPr="0046030A" w:rsidRDefault="00521108"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sidRPr="0046030A">
        <w:rPr>
          <w:rFonts w:ascii="Cambria" w:eastAsia="MS Mincho" w:hAnsi="Cambria"/>
          <w:sz w:val="20"/>
          <w:szCs w:val="20"/>
        </w:rPr>
        <w:t>In view of the foregoing, taking into consideration that two years had elapsed since the first notification of Resolution 3/20 to the petitioner, and that a forum for dialogue had already been convened to generate the conditions for approval, and noting the fulfillment of the actions prioritized by the parties in the context of said forum, and in the absence of any indication from the petitioner of its willingness to continue with the litigation of the case, the Commission understands that it is in the interest of both parties to continue with the friendly settlement mechanism and that it is therefore appropriate at this time to move forward with the approval of the FSA, without prejudice to the convening of new working spaces in the follow-up stage of the friendly settlement agreement, so that the time parameters established in Resolution 3/20 can be met</w:t>
      </w:r>
      <w:r w:rsidR="00F538CE" w:rsidRPr="0046030A">
        <w:rPr>
          <w:rFonts w:ascii="Cambria" w:eastAsia="MS Mincho" w:hAnsi="Cambria"/>
          <w:sz w:val="20"/>
          <w:szCs w:val="20"/>
        </w:rPr>
        <w:t xml:space="preserve">. </w:t>
      </w:r>
    </w:p>
    <w:p w14:paraId="6CEDDD5F" w14:textId="77777777" w:rsidR="00F538CE" w:rsidRPr="0046030A" w:rsidRDefault="00F538CE" w:rsidP="00F538CE">
      <w:pPr>
        <w:pStyle w:val="ListParagraph"/>
        <w:rPr>
          <w:rFonts w:eastAsia="MS Mincho"/>
          <w:sz w:val="20"/>
          <w:szCs w:val="20"/>
        </w:rPr>
      </w:pPr>
    </w:p>
    <w:p w14:paraId="7C526E7C" w14:textId="4FC1D8E9" w:rsidR="00F538CE" w:rsidRPr="0046030A" w:rsidRDefault="00521108"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sidRPr="0046030A">
        <w:rPr>
          <w:rFonts w:ascii="Cambria" w:eastAsia="MS Mincho" w:hAnsi="Cambria"/>
          <w:color w:val="000000"/>
          <w:sz w:val="20"/>
          <w:szCs w:val="20"/>
        </w:rPr>
        <w:t>Regarding the adequacy of the agreement with human rights standards, it is observed that the content of the FSA is consistent with human rights standards, since the friendly settlement agreement includes elements consistent with comprehensive reparation such as measures of satisfaction related to the promotion of the judicial investigation of the facts and the search for the victim, as well as improvements to buildings with a sense of memory, and pecuniary compensation measures</w:t>
      </w:r>
      <w:r w:rsidR="005E10DF" w:rsidRPr="0046030A">
        <w:rPr>
          <w:rFonts w:ascii="Cambria" w:eastAsia="MS Mincho" w:hAnsi="Cambria"/>
          <w:color w:val="000000"/>
          <w:sz w:val="20"/>
          <w:szCs w:val="20"/>
        </w:rPr>
        <w:t>. These measures</w:t>
      </w:r>
      <w:r w:rsidRPr="0046030A">
        <w:rPr>
          <w:rFonts w:ascii="Cambria" w:eastAsia="MS Mincho" w:hAnsi="Cambria"/>
          <w:color w:val="000000"/>
          <w:sz w:val="20"/>
          <w:szCs w:val="20"/>
        </w:rPr>
        <w:t xml:space="preserve"> are considered appropriate within the factual scenario of the particular case, being consistent with the various decisions of the IACHR and the jurisprudence of the Inter-American Court of Human Rights on reparation for victims of human rights violations</w:t>
      </w:r>
      <w:r w:rsidR="00F538CE" w:rsidRPr="0046030A">
        <w:rPr>
          <w:rFonts w:ascii="Cambria" w:eastAsia="MS Mincho" w:hAnsi="Cambria"/>
          <w:color w:val="000000"/>
          <w:sz w:val="20"/>
          <w:szCs w:val="20"/>
        </w:rPr>
        <w:t>.</w:t>
      </w:r>
    </w:p>
    <w:p w14:paraId="01657753" w14:textId="77777777" w:rsidR="00F538CE" w:rsidRPr="0046030A" w:rsidRDefault="00F538CE" w:rsidP="00F538CE">
      <w:pPr>
        <w:pStyle w:val="ListParagraph"/>
        <w:rPr>
          <w:rFonts w:eastAsia="Times New Roman"/>
          <w:sz w:val="20"/>
          <w:szCs w:val="20"/>
          <w:bdr w:val="none" w:sz="0" w:space="0" w:color="auto" w:frame="1"/>
        </w:rPr>
      </w:pPr>
    </w:p>
    <w:p w14:paraId="2C9F4A66" w14:textId="5AAB3690" w:rsidR="00F538CE" w:rsidRPr="0046030A" w:rsidRDefault="00521108" w:rsidP="00F538CE">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sidRPr="0046030A">
        <w:rPr>
          <w:rFonts w:ascii="Cambria" w:eastAsia="Times New Roman" w:hAnsi="Cambria"/>
          <w:sz w:val="20"/>
          <w:szCs w:val="20"/>
          <w:bdr w:val="none" w:sz="0" w:space="0" w:color="auto" w:frame="1"/>
        </w:rPr>
        <w:t xml:space="preserve">As for the State's willingness to comply with the FSA, it should be noted that, according to the technical analysis of the case, the FSA was signed 20 years ago, and that the State has achieved partial execution. The Commission also takes into special consideration the State's compliance with its commitments in the agreed route to advance towards the </w:t>
      </w:r>
      <w:r w:rsidR="005E10DF" w:rsidRPr="0046030A">
        <w:rPr>
          <w:rFonts w:ascii="Cambria" w:eastAsia="Times New Roman" w:hAnsi="Cambria"/>
          <w:sz w:val="20"/>
          <w:szCs w:val="20"/>
          <w:bdr w:val="none" w:sz="0" w:space="0" w:color="auto" w:frame="1"/>
        </w:rPr>
        <w:t>approval</w:t>
      </w:r>
      <w:r w:rsidRPr="0046030A">
        <w:rPr>
          <w:rFonts w:ascii="Cambria" w:eastAsia="Times New Roman" w:hAnsi="Cambria"/>
          <w:sz w:val="20"/>
          <w:szCs w:val="20"/>
          <w:bdr w:val="none" w:sz="0" w:space="0" w:color="auto" w:frame="1"/>
        </w:rPr>
        <w:t xml:space="preserve"> of the agreement and therefore concludes that there has been a commitment on the part of the State to comply with what was agreed</w:t>
      </w:r>
      <w:r w:rsidR="00F538CE" w:rsidRPr="0046030A">
        <w:rPr>
          <w:rFonts w:ascii="Cambria" w:eastAsia="Times New Roman" w:hAnsi="Cambria"/>
          <w:sz w:val="20"/>
          <w:szCs w:val="20"/>
          <w:bdr w:val="none" w:sz="0" w:space="0" w:color="auto" w:frame="1"/>
        </w:rPr>
        <w:t>.</w:t>
      </w:r>
    </w:p>
    <w:p w14:paraId="75F5FB14" w14:textId="77777777" w:rsidR="00F538CE" w:rsidRPr="0046030A" w:rsidRDefault="00F538CE" w:rsidP="00F538CE">
      <w:pPr>
        <w:pStyle w:val="ListParagraph"/>
        <w:rPr>
          <w:rFonts w:eastAsia="MS Mincho"/>
          <w:sz w:val="20"/>
          <w:szCs w:val="20"/>
        </w:rPr>
      </w:pPr>
    </w:p>
    <w:p w14:paraId="020FF4EC" w14:textId="5D946E99" w:rsidR="00805112" w:rsidRPr="0046030A" w:rsidRDefault="00521108" w:rsidP="002A65AC">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rPr>
      </w:pPr>
      <w:r w:rsidRPr="0046030A">
        <w:rPr>
          <w:rFonts w:ascii="Cambria" w:eastAsia="MS Mincho" w:hAnsi="Cambria"/>
          <w:sz w:val="20"/>
          <w:szCs w:val="20"/>
        </w:rPr>
        <w:t>Therefore, the Commission considers that the third clause of the agreement (economic support) has been fully complied with and so declares</w:t>
      </w:r>
      <w:r w:rsidR="005E10DF" w:rsidRPr="0046030A">
        <w:rPr>
          <w:rFonts w:ascii="Cambria" w:eastAsia="MS Mincho" w:hAnsi="Cambria"/>
          <w:sz w:val="20"/>
          <w:szCs w:val="20"/>
        </w:rPr>
        <w:t xml:space="preserve"> it</w:t>
      </w:r>
      <w:r w:rsidRPr="0046030A">
        <w:rPr>
          <w:rFonts w:ascii="Cambria" w:eastAsia="MS Mincho" w:hAnsi="Cambria"/>
          <w:sz w:val="20"/>
          <w:szCs w:val="20"/>
        </w:rPr>
        <w:t>. On the other hand, the Commission considers that the second clause (investigation of the facts) has reached a level of partial compliance and so declares</w:t>
      </w:r>
      <w:r w:rsidR="005E10DF" w:rsidRPr="0046030A">
        <w:rPr>
          <w:rFonts w:ascii="Cambria" w:eastAsia="MS Mincho" w:hAnsi="Cambria"/>
          <w:sz w:val="20"/>
          <w:szCs w:val="20"/>
        </w:rPr>
        <w:t xml:space="preserve"> it</w:t>
      </w:r>
      <w:r w:rsidRPr="0046030A">
        <w:rPr>
          <w:rFonts w:ascii="Cambria" w:eastAsia="MS Mincho" w:hAnsi="Cambria"/>
          <w:sz w:val="20"/>
          <w:szCs w:val="20"/>
        </w:rPr>
        <w:t>. Finally, the Commission considers that the rest of the content of the agreement is of a declarative nature and therefore it</w:t>
      </w:r>
      <w:r w:rsidR="005E10DF" w:rsidRPr="0046030A">
        <w:rPr>
          <w:rFonts w:ascii="Cambria" w:eastAsia="MS Mincho" w:hAnsi="Cambria"/>
          <w:sz w:val="20"/>
          <w:szCs w:val="20"/>
        </w:rPr>
        <w:t xml:space="preserve"> does not merit</w:t>
      </w:r>
      <w:r w:rsidRPr="0046030A">
        <w:rPr>
          <w:rFonts w:ascii="Cambria" w:eastAsia="MS Mincho" w:hAnsi="Cambria"/>
          <w:sz w:val="20"/>
          <w:szCs w:val="20"/>
        </w:rPr>
        <w:t xml:space="preserve"> supervision</w:t>
      </w:r>
      <w:r w:rsidR="005E10DF" w:rsidRPr="0046030A">
        <w:rPr>
          <w:rFonts w:ascii="Cambria" w:eastAsia="MS Mincho" w:hAnsi="Cambria"/>
          <w:sz w:val="20"/>
          <w:szCs w:val="20"/>
        </w:rPr>
        <w:t>. I</w:t>
      </w:r>
      <w:r w:rsidRPr="0046030A">
        <w:rPr>
          <w:rFonts w:ascii="Cambria" w:eastAsia="MS Mincho" w:hAnsi="Cambria"/>
          <w:sz w:val="20"/>
          <w:szCs w:val="20"/>
        </w:rPr>
        <w:t>n this sense, the execution of the agreement has reached a substantial partial level and so declares</w:t>
      </w:r>
      <w:r w:rsidR="005E10DF" w:rsidRPr="0046030A">
        <w:rPr>
          <w:rFonts w:ascii="Cambria" w:eastAsia="MS Mincho" w:hAnsi="Cambria"/>
          <w:sz w:val="20"/>
          <w:szCs w:val="20"/>
        </w:rPr>
        <w:t xml:space="preserve"> it</w:t>
      </w:r>
      <w:r w:rsidR="00F538CE" w:rsidRPr="0046030A">
        <w:rPr>
          <w:rFonts w:ascii="Cambria" w:hAnsi="Cambria"/>
          <w:sz w:val="20"/>
          <w:szCs w:val="20"/>
        </w:rPr>
        <w:t>.</w:t>
      </w:r>
    </w:p>
    <w:p w14:paraId="0D991B79" w14:textId="77777777" w:rsidR="002A65AC" w:rsidRPr="0046030A"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45BF9A51" w14:textId="77777777" w:rsidR="00FA675D" w:rsidRPr="0046030A"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46030A">
        <w:rPr>
          <w:rFonts w:eastAsia="Times New Roman" w:cstheme="minorHAnsi"/>
          <w:b/>
          <w:bCs/>
          <w:color w:val="000000" w:themeColor="text1"/>
          <w:sz w:val="20"/>
          <w:szCs w:val="20"/>
          <w:lang w:eastAsia="es-ES_tradnl"/>
        </w:rPr>
        <w:t>CONCLUSIONS</w:t>
      </w:r>
    </w:p>
    <w:p w14:paraId="628FF974" w14:textId="77777777" w:rsidR="00DA37B6" w:rsidRPr="0046030A"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46030A" w:rsidRDefault="00805112" w:rsidP="00805112">
      <w:pPr>
        <w:pStyle w:val="ListParagraph"/>
        <w:numPr>
          <w:ilvl w:val="0"/>
          <w:numId w:val="107"/>
        </w:numPr>
        <w:tabs>
          <w:tab w:val="left" w:pos="720"/>
        </w:tabs>
        <w:ind w:left="0" w:firstLine="709"/>
        <w:jc w:val="both"/>
        <w:rPr>
          <w:rFonts w:eastAsia="MS Mincho"/>
          <w:sz w:val="20"/>
          <w:szCs w:val="20"/>
        </w:rPr>
      </w:pPr>
      <w:r w:rsidRPr="0046030A">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46030A" w:rsidRDefault="00805112" w:rsidP="00805112">
      <w:pPr>
        <w:tabs>
          <w:tab w:val="left" w:pos="720"/>
          <w:tab w:val="left" w:pos="1440"/>
        </w:tabs>
        <w:ind w:firstLine="709"/>
        <w:jc w:val="both"/>
        <w:rPr>
          <w:rFonts w:ascii="Cambria" w:eastAsia="MS Mincho" w:hAnsi="Cambria" w:cs="Cambria"/>
          <w:sz w:val="20"/>
          <w:szCs w:val="20"/>
          <w:lang w:eastAsia="es-ES"/>
        </w:rPr>
      </w:pPr>
    </w:p>
    <w:p w14:paraId="4861C3C9" w14:textId="40C4F802" w:rsidR="00DA37B6" w:rsidRPr="00360BA0" w:rsidRDefault="00805112" w:rsidP="00360BA0">
      <w:pPr>
        <w:tabs>
          <w:tab w:val="left" w:pos="720"/>
        </w:tabs>
        <w:ind w:firstLine="709"/>
        <w:jc w:val="both"/>
        <w:rPr>
          <w:rFonts w:ascii="Cambria" w:eastAsia="MS Mincho" w:hAnsi="Cambria" w:cs="Cambria"/>
          <w:sz w:val="20"/>
          <w:szCs w:val="20"/>
        </w:rPr>
      </w:pPr>
      <w:r w:rsidRPr="0046030A">
        <w:rPr>
          <w:rFonts w:ascii="Cambria" w:hAnsi="Cambria"/>
          <w:sz w:val="20"/>
          <w:szCs w:val="20"/>
        </w:rPr>
        <w:t xml:space="preserve">2. </w:t>
      </w:r>
      <w:r w:rsidRPr="0046030A">
        <w:tab/>
      </w:r>
      <w:r w:rsidRPr="0046030A">
        <w:rPr>
          <w:rFonts w:ascii="Cambria" w:hAnsi="Cambria"/>
          <w:sz w:val="20"/>
          <w:szCs w:val="20"/>
        </w:rPr>
        <w:t xml:space="preserve">Based on the considerations and conclusions contained in this report, </w:t>
      </w:r>
    </w:p>
    <w:p w14:paraId="69A0DE64" w14:textId="77777777" w:rsidR="00FA675D" w:rsidRPr="0046030A" w:rsidRDefault="00FA675D" w:rsidP="00FA675D">
      <w:pPr>
        <w:jc w:val="both"/>
        <w:rPr>
          <w:rFonts w:ascii="Cambria" w:eastAsia="Times New Roman" w:hAnsi="Cambria" w:cstheme="minorHAnsi"/>
          <w:b/>
          <w:bCs/>
          <w:color w:val="000000" w:themeColor="text1"/>
          <w:sz w:val="20"/>
          <w:szCs w:val="20"/>
          <w:lang w:eastAsia="es-ES_tradnl"/>
        </w:rPr>
      </w:pPr>
    </w:p>
    <w:p w14:paraId="5B80A381" w14:textId="77777777" w:rsidR="00FA675D" w:rsidRPr="0046030A" w:rsidRDefault="00FA675D" w:rsidP="00234A3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46030A">
        <w:rPr>
          <w:rFonts w:ascii="Cambria" w:eastAsia="Times New Roman" w:hAnsi="Cambria" w:cstheme="minorHAnsi"/>
          <w:b/>
          <w:bCs/>
          <w:color w:val="000000" w:themeColor="text1"/>
          <w:sz w:val="20"/>
          <w:szCs w:val="20"/>
          <w:lang w:eastAsia="es-ES_tradnl"/>
        </w:rPr>
        <w:t>THE INTER-AMERICAN COMMISSION ON HUMAN RIGHTS</w:t>
      </w:r>
    </w:p>
    <w:p w14:paraId="710D6B65" w14:textId="77777777" w:rsidR="00FA675D" w:rsidRPr="0046030A"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2ADDF23C" w14:textId="18E31D0A" w:rsidR="00FA675D" w:rsidRPr="0046030A" w:rsidRDefault="00FA675D" w:rsidP="00FA675D">
      <w:pP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46030A">
        <w:rPr>
          <w:rFonts w:ascii="Cambria" w:eastAsia="Times New Roman" w:hAnsi="Cambria" w:cstheme="minorHAnsi"/>
          <w:b/>
          <w:bCs/>
          <w:color w:val="000000" w:themeColor="text1"/>
          <w:sz w:val="20"/>
          <w:szCs w:val="20"/>
          <w:bdr w:val="none" w:sz="0" w:space="0" w:color="auto"/>
          <w:lang w:val="es-CO" w:eastAsia="es-ES_tradnl"/>
        </w:rPr>
        <w:t>DECIDE</w:t>
      </w:r>
      <w:r w:rsidRPr="0046030A">
        <w:rPr>
          <w:rFonts w:ascii="Cambria" w:eastAsia="Times New Roman" w:hAnsi="Cambria" w:cstheme="minorHAnsi"/>
          <w:b/>
          <w:bCs/>
          <w:color w:val="000000" w:themeColor="text1"/>
          <w:sz w:val="20"/>
          <w:szCs w:val="20"/>
          <w:lang w:val="es-CO" w:eastAsia="es-ES_tradnl"/>
        </w:rPr>
        <w:t>S</w:t>
      </w:r>
      <w:r w:rsidRPr="0046030A">
        <w:rPr>
          <w:rFonts w:ascii="Cambria" w:eastAsia="Times New Roman" w:hAnsi="Cambria" w:cstheme="minorHAnsi"/>
          <w:b/>
          <w:bCs/>
          <w:color w:val="000000" w:themeColor="text1"/>
          <w:sz w:val="20"/>
          <w:szCs w:val="20"/>
          <w:bdr w:val="none" w:sz="0" w:space="0" w:color="auto"/>
          <w:lang w:val="es-CO" w:eastAsia="es-ES_tradnl"/>
        </w:rPr>
        <w:t xml:space="preserve">: </w:t>
      </w:r>
    </w:p>
    <w:p w14:paraId="5BDDB6CA" w14:textId="77777777" w:rsidR="00F538CE" w:rsidRPr="0046030A" w:rsidRDefault="00F538CE" w:rsidP="00F538CE">
      <w:pPr>
        <w:jc w:val="both"/>
        <w:rPr>
          <w:rFonts w:ascii="Cambria" w:eastAsia="Times New Roman" w:hAnsi="Cambria" w:cstheme="minorHAnsi"/>
          <w:b/>
          <w:bCs/>
          <w:color w:val="000000" w:themeColor="text1"/>
          <w:sz w:val="20"/>
          <w:szCs w:val="20"/>
          <w:lang w:val="es-CO" w:eastAsia="es-ES_tradnl"/>
        </w:rPr>
      </w:pPr>
    </w:p>
    <w:p w14:paraId="03B4C60A" w14:textId="7BBC8A55" w:rsidR="00F538CE" w:rsidRPr="0046030A" w:rsidRDefault="00521108" w:rsidP="00F538C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46030A">
        <w:rPr>
          <w:rFonts w:ascii="Cambria" w:eastAsia="MS Mincho" w:hAnsi="Cambria"/>
          <w:sz w:val="20"/>
          <w:szCs w:val="20"/>
        </w:rPr>
        <w:t>To approve the terms of the agreement signed by the parties on July 8, 2003</w:t>
      </w:r>
      <w:r w:rsidR="00F538CE" w:rsidRPr="0046030A">
        <w:rPr>
          <w:rFonts w:ascii="Cambria" w:eastAsia="MS Mincho" w:hAnsi="Cambria"/>
          <w:sz w:val="20"/>
          <w:szCs w:val="20"/>
        </w:rPr>
        <w:t>.</w:t>
      </w:r>
      <w:r w:rsidR="00F538CE" w:rsidRPr="0046030A">
        <w:rPr>
          <w:rFonts w:ascii="Cambria" w:eastAsia="Times New Roman" w:hAnsi="Cambria"/>
          <w:sz w:val="20"/>
          <w:szCs w:val="20"/>
        </w:rPr>
        <w:t xml:space="preserve"> </w:t>
      </w:r>
    </w:p>
    <w:p w14:paraId="491E1EEF" w14:textId="77777777" w:rsidR="00F538CE" w:rsidRPr="0046030A" w:rsidRDefault="00F538CE" w:rsidP="00F538CE">
      <w:pPr>
        <w:ind w:left="90" w:firstLine="630"/>
        <w:rPr>
          <w:rFonts w:ascii="Cambria" w:eastAsia="MS Mincho" w:hAnsi="Cambria"/>
          <w:sz w:val="20"/>
          <w:szCs w:val="20"/>
        </w:rPr>
      </w:pPr>
    </w:p>
    <w:p w14:paraId="2395A499" w14:textId="5E4598F3" w:rsidR="00F538CE" w:rsidRPr="0046030A" w:rsidRDefault="00521108" w:rsidP="00F538C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46030A">
        <w:rPr>
          <w:rFonts w:ascii="Cambria" w:eastAsia="MS Mincho" w:hAnsi="Cambria"/>
          <w:sz w:val="20"/>
          <w:szCs w:val="20"/>
        </w:rPr>
        <w:t>To declare full compliance with the third clause (economic support) of the friendly settlement agreement, according to the analysis contained in this report</w:t>
      </w:r>
      <w:r w:rsidR="00F538CE" w:rsidRPr="0046030A">
        <w:rPr>
          <w:rFonts w:ascii="Cambria" w:eastAsia="MS Mincho" w:hAnsi="Cambria"/>
          <w:sz w:val="20"/>
          <w:szCs w:val="20"/>
        </w:rPr>
        <w:t>.</w:t>
      </w:r>
    </w:p>
    <w:p w14:paraId="3ED83908" w14:textId="77777777" w:rsidR="00F538CE" w:rsidRPr="0046030A" w:rsidRDefault="00F538CE" w:rsidP="00F538CE">
      <w:pPr>
        <w:rPr>
          <w:rFonts w:eastAsia="MS Mincho"/>
          <w:sz w:val="20"/>
          <w:szCs w:val="20"/>
        </w:rPr>
      </w:pPr>
    </w:p>
    <w:p w14:paraId="0810AB45" w14:textId="7471C711" w:rsidR="00F538CE" w:rsidRPr="0046030A" w:rsidRDefault="00521108" w:rsidP="00F538C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46030A">
        <w:rPr>
          <w:rFonts w:ascii="Cambria" w:eastAsia="MS Mincho" w:hAnsi="Cambria"/>
          <w:sz w:val="20"/>
          <w:szCs w:val="20"/>
        </w:rPr>
        <w:t>To declare partial compliance with the second clause (investigation) of the agreement, according to the analysis contained in this report</w:t>
      </w:r>
      <w:r w:rsidR="00F538CE" w:rsidRPr="0046030A">
        <w:rPr>
          <w:rFonts w:ascii="Cambria" w:eastAsia="MS Mincho" w:hAnsi="Cambria"/>
          <w:color w:val="000000"/>
          <w:sz w:val="20"/>
          <w:szCs w:val="20"/>
        </w:rPr>
        <w:t xml:space="preserve">. </w:t>
      </w:r>
    </w:p>
    <w:p w14:paraId="028734DC" w14:textId="77777777" w:rsidR="00F538CE" w:rsidRPr="0046030A" w:rsidRDefault="00F538CE" w:rsidP="00F538C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p>
    <w:p w14:paraId="180397A4" w14:textId="79B6B28B" w:rsidR="00F538CE" w:rsidRPr="0046030A" w:rsidRDefault="00521108" w:rsidP="00F538C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46030A">
        <w:rPr>
          <w:rFonts w:ascii="Cambria" w:eastAsia="MS Mincho" w:hAnsi="Cambria"/>
          <w:sz w:val="20"/>
          <w:szCs w:val="20"/>
        </w:rPr>
        <w:t>To declare that the friendly settlement agreement has reached a partial level of substantial implementation, according to the analysis contained in this report</w:t>
      </w:r>
      <w:r w:rsidR="00F538CE" w:rsidRPr="0046030A">
        <w:rPr>
          <w:rFonts w:ascii="Cambria" w:eastAsia="MS Mincho" w:hAnsi="Cambria"/>
          <w:sz w:val="20"/>
          <w:szCs w:val="20"/>
        </w:rPr>
        <w:t xml:space="preserve">. </w:t>
      </w:r>
    </w:p>
    <w:p w14:paraId="5CDD3F80" w14:textId="77777777" w:rsidR="00F538CE" w:rsidRPr="0046030A" w:rsidRDefault="00F538CE" w:rsidP="00F538CE">
      <w:pPr>
        <w:pStyle w:val="ListParagraph"/>
        <w:rPr>
          <w:rFonts w:eastAsia="MS Mincho"/>
          <w:sz w:val="20"/>
          <w:szCs w:val="20"/>
        </w:rPr>
      </w:pPr>
    </w:p>
    <w:p w14:paraId="2EDA08F0" w14:textId="0EA0B190" w:rsidR="00F538CE" w:rsidRPr="0046030A" w:rsidRDefault="00521108" w:rsidP="00F538C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46030A">
        <w:rPr>
          <w:rFonts w:ascii="Cambria" w:eastAsia="MS Mincho" w:hAnsi="Cambria"/>
          <w:sz w:val="20"/>
          <w:szCs w:val="20"/>
        </w:rPr>
        <w:t>To continue monitoring the second clause (investigation) of the friendly settlement agreement until it is fully complied with, according to the analysis contained in this Report. To this end, remind the parties of their commitment to report periodically to the IACHR on their compliance</w:t>
      </w:r>
      <w:r w:rsidR="00F538CE" w:rsidRPr="0046030A">
        <w:rPr>
          <w:rFonts w:ascii="Cambria" w:eastAsia="MS Mincho" w:hAnsi="Cambria"/>
          <w:sz w:val="20"/>
          <w:szCs w:val="20"/>
        </w:rPr>
        <w:t>.</w:t>
      </w:r>
    </w:p>
    <w:p w14:paraId="7D95A731" w14:textId="77777777" w:rsidR="00F538CE" w:rsidRPr="0046030A" w:rsidRDefault="00F538CE" w:rsidP="00F538CE">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left="90" w:firstLine="630"/>
        <w:jc w:val="both"/>
        <w:rPr>
          <w:rFonts w:ascii="Cambria" w:eastAsia="MS Mincho" w:hAnsi="Cambria"/>
          <w:sz w:val="20"/>
          <w:szCs w:val="20"/>
        </w:rPr>
      </w:pPr>
    </w:p>
    <w:p w14:paraId="713BF1FE" w14:textId="6BDFD878" w:rsidR="00F538CE" w:rsidRPr="0046030A" w:rsidRDefault="00521108" w:rsidP="00F538CE">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left="90" w:firstLine="630"/>
        <w:jc w:val="both"/>
        <w:rPr>
          <w:rFonts w:ascii="Cambria" w:eastAsia="MS Mincho" w:hAnsi="Cambria"/>
          <w:sz w:val="20"/>
          <w:szCs w:val="20"/>
        </w:rPr>
      </w:pPr>
      <w:r w:rsidRPr="0046030A">
        <w:rPr>
          <w:rFonts w:ascii="Cambria" w:eastAsia="MS Mincho" w:hAnsi="Cambria"/>
          <w:sz w:val="20"/>
          <w:szCs w:val="20"/>
        </w:rPr>
        <w:t>To make this report public and include it in its Annual Report to the General Assembly of the OAS</w:t>
      </w:r>
      <w:r w:rsidR="00F538CE" w:rsidRPr="0046030A">
        <w:rPr>
          <w:rFonts w:ascii="Cambria" w:eastAsia="MS Mincho" w:hAnsi="Cambria"/>
          <w:sz w:val="20"/>
          <w:szCs w:val="20"/>
        </w:rPr>
        <w:t>.</w:t>
      </w:r>
    </w:p>
    <w:p w14:paraId="1FA2BB0B" w14:textId="77777777" w:rsidR="00FA675D" w:rsidRDefault="00FA675D" w:rsidP="00145EDC">
      <w:pPr>
        <w:tabs>
          <w:tab w:val="center" w:pos="5400"/>
        </w:tabs>
        <w:suppressAutoHyphens/>
        <w:spacing w:line="276" w:lineRule="auto"/>
        <w:rPr>
          <w:rFonts w:asciiTheme="majorHAnsi" w:hAnsiTheme="majorHAnsi"/>
          <w:sz w:val="20"/>
          <w:szCs w:val="20"/>
        </w:rPr>
      </w:pPr>
    </w:p>
    <w:p w14:paraId="5ADCA616" w14:textId="550662B0" w:rsidR="006F2828" w:rsidRDefault="006F2828" w:rsidP="006F2828">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20</w:t>
      </w:r>
      <w:r w:rsidRPr="006F2828">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6844B3">
        <w:rPr>
          <w:rFonts w:ascii="Cambria" w:hAnsi="Cambria"/>
          <w:spacing w:val="-2"/>
          <w:sz w:val="20"/>
        </w:rPr>
        <w:t>October</w:t>
      </w:r>
      <w:r>
        <w:rPr>
          <w:rFonts w:ascii="Cambria" w:hAnsi="Cambria"/>
          <w:spacing w:val="-2"/>
          <w:sz w:val="20"/>
        </w:rPr>
        <w:t>, 2023</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691AC3">
        <w:rPr>
          <w:rStyle w:val="normaltextrun"/>
          <w:rFonts w:ascii="Cambria" w:hAnsi="Cambria" w:cs="Segoe UI"/>
          <w:sz w:val="20"/>
          <w:szCs w:val="20"/>
        </w:rPr>
        <w:t>Margarette May Macaulay</w:t>
      </w:r>
      <w:r w:rsidRPr="00CA3324">
        <w:rPr>
          <w:rStyle w:val="normaltextrun"/>
          <w:rFonts w:ascii="Cambria" w:hAnsi="Cambria" w:cs="Segoe UI"/>
          <w:sz w:val="20"/>
          <w:szCs w:val="20"/>
        </w:rPr>
        <w:t xml:space="preserve">, President; </w:t>
      </w:r>
      <w:r w:rsidRPr="006059AE">
        <w:rPr>
          <w:rStyle w:val="normaltextrun"/>
          <w:rFonts w:ascii="Cambria" w:hAnsi="Cambria" w:cs="Segoe UI"/>
          <w:sz w:val="20"/>
          <w:szCs w:val="20"/>
        </w:rPr>
        <w:t>Esmeralda Arosemena de Troitiño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sidRPr="006059AE">
        <w:rPr>
          <w:rStyle w:val="normaltextrun"/>
          <w:rFonts w:ascii="Cambria" w:hAnsi="Cambria" w:cs="Segoe UI"/>
          <w:sz w:val="20"/>
          <w:szCs w:val="20"/>
        </w:rPr>
        <w:t>Roberta Clarke</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sidRPr="007B0A47">
        <w:rPr>
          <w:rStyle w:val="normaltextrun"/>
          <w:rFonts w:ascii="Cambria" w:hAnsi="Cambria" w:cs="Segoe UI"/>
          <w:sz w:val="20"/>
          <w:szCs w:val="20"/>
        </w:rPr>
        <w:t>Julissa Mantilla Falcón, Stuardo Ralón Orellana</w:t>
      </w:r>
      <w:r w:rsidR="006844B3">
        <w:rPr>
          <w:rStyle w:val="normaltextrun"/>
          <w:rFonts w:ascii="Cambria" w:hAnsi="Cambria" w:cs="Segoe UI"/>
          <w:sz w:val="20"/>
          <w:szCs w:val="20"/>
        </w:rPr>
        <w:t xml:space="preserve"> and</w:t>
      </w:r>
      <w:r>
        <w:rPr>
          <w:rStyle w:val="normaltextrun"/>
          <w:rFonts w:ascii="Cambria" w:hAnsi="Cambria" w:cs="Segoe UI"/>
          <w:sz w:val="20"/>
          <w:szCs w:val="20"/>
        </w:rPr>
        <w:t xml:space="preserve"> </w:t>
      </w:r>
      <w:r w:rsidRPr="007B0A47">
        <w:rPr>
          <w:rStyle w:val="normaltextrun"/>
          <w:rFonts w:ascii="Cambria" w:hAnsi="Cambria" w:cs="Segoe UI"/>
          <w:sz w:val="20"/>
          <w:szCs w:val="20"/>
        </w:rPr>
        <w:t>Carlos Bernal Pulido</w:t>
      </w:r>
      <w:r w:rsidRPr="00CA3324">
        <w:rPr>
          <w:rStyle w:val="normaltextrun"/>
          <w:rFonts w:ascii="Cambria" w:hAnsi="Cambria" w:cs="Segoe UI"/>
          <w:sz w:val="20"/>
          <w:szCs w:val="20"/>
        </w:rPr>
        <w:t>, Commissioners</w:t>
      </w:r>
      <w:r>
        <w:rPr>
          <w:rStyle w:val="normaltextrun"/>
          <w:rFonts w:ascii="Cambria" w:hAnsi="Cambria" w:cs="Segoe UI"/>
          <w:sz w:val="20"/>
          <w:szCs w:val="20"/>
        </w:rPr>
        <w:t>.</w:t>
      </w:r>
    </w:p>
    <w:p w14:paraId="43685465" w14:textId="77777777" w:rsidR="00234A3E" w:rsidRPr="00DA5950" w:rsidRDefault="00234A3E" w:rsidP="00145EDC">
      <w:pPr>
        <w:tabs>
          <w:tab w:val="center" w:pos="5400"/>
        </w:tabs>
        <w:suppressAutoHyphens/>
        <w:spacing w:line="276" w:lineRule="auto"/>
        <w:rPr>
          <w:rFonts w:asciiTheme="majorHAnsi" w:hAnsiTheme="majorHAnsi"/>
          <w:sz w:val="20"/>
          <w:szCs w:val="20"/>
        </w:rPr>
      </w:pPr>
    </w:p>
    <w:sectPr w:rsidR="00234A3E" w:rsidRPr="00DA5950"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D49D" w14:textId="77777777" w:rsidR="008137D6" w:rsidRDefault="008137D6" w:rsidP="00036A8A">
      <w:r>
        <w:separator/>
      </w:r>
    </w:p>
  </w:endnote>
  <w:endnote w:type="continuationSeparator" w:id="0">
    <w:p w14:paraId="126677C5" w14:textId="77777777" w:rsidR="008137D6" w:rsidRDefault="008137D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8368" w14:textId="77777777" w:rsidR="008137D6" w:rsidRPr="00036A8A" w:rsidRDefault="008137D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9366A70" w14:textId="77777777" w:rsidR="008137D6" w:rsidRPr="00036A8A" w:rsidRDefault="008137D6" w:rsidP="00036A8A">
      <w:pPr>
        <w:rPr>
          <w:rFonts w:asciiTheme="majorHAnsi" w:hAnsiTheme="majorHAnsi"/>
          <w:sz w:val="16"/>
          <w:szCs w:val="16"/>
        </w:rPr>
      </w:pPr>
      <w:r w:rsidRPr="00036A8A">
        <w:rPr>
          <w:rFonts w:asciiTheme="majorHAnsi" w:hAnsiTheme="majorHAnsi"/>
          <w:sz w:val="16"/>
          <w:szCs w:val="16"/>
        </w:rPr>
        <w:separator/>
      </w:r>
    </w:p>
    <w:p w14:paraId="679E3B01" w14:textId="77777777" w:rsidR="008137D6" w:rsidRPr="00036A8A" w:rsidRDefault="008137D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1033FD12" w14:textId="77777777" w:rsidR="008137D6" w:rsidRPr="0093441A" w:rsidRDefault="008137D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E0E7026" w14:textId="3124B5C3" w:rsidR="006A2535" w:rsidRPr="006A2535" w:rsidRDefault="006A2535" w:rsidP="004A23CA">
      <w:pPr>
        <w:pStyle w:val="FootnoteText"/>
        <w:ind w:firstLine="720"/>
        <w:jc w:val="both"/>
        <w:rPr>
          <w:rFonts w:asciiTheme="majorHAnsi" w:hAnsiTheme="majorHAnsi"/>
          <w:sz w:val="16"/>
          <w:szCs w:val="16"/>
        </w:rPr>
      </w:pPr>
      <w:r w:rsidRPr="00846AD5">
        <w:rPr>
          <w:rStyle w:val="FootnoteReference"/>
          <w:rFonts w:asciiTheme="majorHAnsi" w:hAnsiTheme="majorHAnsi"/>
          <w:sz w:val="16"/>
          <w:szCs w:val="16"/>
        </w:rPr>
        <w:footnoteRef/>
      </w:r>
      <w:r w:rsidRPr="00846AD5">
        <w:rPr>
          <w:rFonts w:asciiTheme="majorHAnsi" w:hAnsiTheme="majorHAnsi"/>
          <w:sz w:val="16"/>
          <w:szCs w:val="16"/>
        </w:rPr>
        <w:t xml:space="preserve"> In accordance with Article 17(2)(a) of the Rules of Procedure of the IACHR, Commissioner </w:t>
      </w:r>
      <w:r w:rsidR="004A23CA" w:rsidRPr="00846AD5">
        <w:rPr>
          <w:rFonts w:asciiTheme="majorHAnsi" w:eastAsia="Cambria" w:hAnsiTheme="majorHAnsi"/>
          <w:sz w:val="16"/>
          <w:szCs w:val="16"/>
        </w:rPr>
        <w:t>José Luis Caballero Ochoa</w:t>
      </w:r>
      <w:r w:rsidRPr="00846AD5">
        <w:rPr>
          <w:rFonts w:asciiTheme="majorHAnsi" w:hAnsiTheme="majorHAnsi"/>
          <w:sz w:val="16"/>
          <w:szCs w:val="16"/>
        </w:rPr>
        <w:t xml:space="preserve">, a </w:t>
      </w:r>
      <w:r w:rsidR="004A23CA" w:rsidRPr="00846AD5">
        <w:rPr>
          <w:rFonts w:asciiTheme="majorHAnsi" w:hAnsiTheme="majorHAnsi"/>
          <w:sz w:val="16"/>
          <w:szCs w:val="16"/>
        </w:rPr>
        <w:t>Mexican</w:t>
      </w:r>
      <w:r w:rsidRPr="00846AD5">
        <w:rPr>
          <w:rFonts w:asciiTheme="majorHAnsi" w:hAnsiTheme="majorHAnsi"/>
          <w:sz w:val="16"/>
          <w:szCs w:val="16"/>
        </w:rPr>
        <w:t xml:space="preserve"> national, did not participate in the discussion or decision on this case.</w:t>
      </w:r>
    </w:p>
  </w:footnote>
  <w:footnote w:id="3">
    <w:p w14:paraId="249DD393" w14:textId="77777777" w:rsidR="00805112" w:rsidRPr="00846AD5" w:rsidRDefault="00805112" w:rsidP="00805112">
      <w:pPr>
        <w:pStyle w:val="FootnoteText"/>
        <w:ind w:firstLine="720"/>
        <w:jc w:val="both"/>
        <w:rPr>
          <w:rFonts w:asciiTheme="majorHAnsi" w:hAnsiTheme="majorHAnsi"/>
          <w:sz w:val="16"/>
          <w:szCs w:val="16"/>
          <w:bdr w:val="none" w:sz="0" w:space="0" w:color="auto" w:frame="1"/>
        </w:rPr>
      </w:pPr>
      <w:r w:rsidRPr="00846AD5">
        <w:rPr>
          <w:rStyle w:val="FootnoteReference"/>
          <w:rFonts w:asciiTheme="majorHAnsi" w:hAnsiTheme="majorHAnsi"/>
          <w:sz w:val="16"/>
          <w:szCs w:val="16"/>
          <w:lang w:val="en"/>
        </w:rPr>
        <w:footnoteRef/>
      </w:r>
      <w:r w:rsidRPr="00846AD5">
        <w:rPr>
          <w:rFonts w:asciiTheme="majorHAnsi" w:hAnsiTheme="majorHAnsi"/>
          <w:sz w:val="16"/>
          <w:szCs w:val="16"/>
          <w:lang w:val="en"/>
        </w:rPr>
        <w:t xml:space="preserve"> Vienna Convention on the Law of Treaties, U.N. Doc A/CONF.39/27 (1969), Article 26: </w:t>
      </w:r>
      <w:r w:rsidRPr="00846AD5">
        <w:rPr>
          <w:rFonts w:asciiTheme="majorHAnsi" w:hAnsiTheme="majorHAnsi"/>
          <w:b/>
          <w:bCs/>
          <w:sz w:val="16"/>
          <w:szCs w:val="16"/>
          <w:lang w:val="en"/>
        </w:rPr>
        <w:t>"Pacta sunt servanda"</w:t>
      </w:r>
      <w:r w:rsidRPr="00846AD5">
        <w:rPr>
          <w:rFonts w:asciiTheme="majorHAnsi" w:hAnsiTheme="majorHAnsi"/>
          <w:sz w:val="16"/>
          <w:szCs w:val="16"/>
          <w:lang w:val="en"/>
        </w:rPr>
        <w:t xml:space="preserve"> </w:t>
      </w:r>
      <w:r w:rsidRPr="00846AD5">
        <w:rPr>
          <w:rFonts w:asciiTheme="majorHAnsi" w:hAnsiTheme="majorHAnsi"/>
          <w:i/>
          <w:iCs/>
          <w:sz w:val="16"/>
          <w:szCs w:val="16"/>
          <w:lang w:val="en"/>
        </w:rPr>
        <w:t>Every treaty in force is binding upon the parties to it and must be performed by them in good faith.</w:t>
      </w:r>
    </w:p>
  </w:footnote>
  <w:footnote w:id="4">
    <w:p w14:paraId="0BBCFF9D" w14:textId="1A3AF7CC" w:rsidR="00F538CE" w:rsidRPr="00DA5950" w:rsidRDefault="00F538CE" w:rsidP="00F538CE">
      <w:pPr>
        <w:pStyle w:val="FootnoteText"/>
        <w:ind w:firstLine="720"/>
        <w:rPr>
          <w:rFonts w:ascii="Cambria" w:hAnsi="Cambria"/>
          <w:sz w:val="16"/>
          <w:szCs w:val="16"/>
        </w:rPr>
      </w:pPr>
      <w:r w:rsidRPr="00846AD5">
        <w:rPr>
          <w:rStyle w:val="FootnoteReference"/>
          <w:rFonts w:ascii="Cambria" w:hAnsi="Cambria"/>
          <w:sz w:val="16"/>
          <w:szCs w:val="16"/>
        </w:rPr>
        <w:footnoteRef/>
      </w:r>
      <w:r w:rsidRPr="00846AD5">
        <w:rPr>
          <w:rFonts w:ascii="Cambria" w:hAnsi="Cambria"/>
          <w:sz w:val="16"/>
          <w:szCs w:val="16"/>
        </w:rPr>
        <w:t xml:space="preserve"> </w:t>
      </w:r>
      <w:r w:rsidR="00611CC2" w:rsidRPr="00846AD5">
        <w:rPr>
          <w:rFonts w:ascii="Cambria" w:hAnsi="Cambria"/>
          <w:sz w:val="16"/>
          <w:szCs w:val="16"/>
        </w:rPr>
        <w:t>In this regard see, IACHR, Resolution 3/20 on differentiated actions to address the procedural backlog in friendly settlement</w:t>
      </w:r>
      <w:r w:rsidR="00611CC2" w:rsidRPr="00DA5950">
        <w:rPr>
          <w:rFonts w:ascii="Cambria" w:hAnsi="Cambria"/>
          <w:sz w:val="16"/>
          <w:szCs w:val="16"/>
        </w:rPr>
        <w:t xml:space="preserve"> procedures, adopted on April 21, 2020</w:t>
      </w:r>
      <w:r w:rsidRPr="00DA5950">
        <w:rPr>
          <w:rFonts w:ascii="Cambria" w:eastAsia="Times New Roman" w:hAnsi="Cambria"/>
          <w:sz w:val="16"/>
          <w:szCs w:val="16"/>
          <w:bdr w:val="none" w:sz="0" w:space="0" w:color="auto" w:frame="1"/>
        </w:rPr>
        <w:t xml:space="preserve">. </w:t>
      </w:r>
    </w:p>
  </w:footnote>
  <w:footnote w:id="5">
    <w:p w14:paraId="6CA6D125" w14:textId="0FD399E7" w:rsidR="00F538CE" w:rsidRPr="00DA5950" w:rsidRDefault="00F538CE" w:rsidP="00DA5950">
      <w:pPr>
        <w:pStyle w:val="FootnoteText"/>
        <w:ind w:firstLine="709"/>
        <w:jc w:val="both"/>
        <w:rPr>
          <w:rFonts w:ascii="Cambria" w:hAnsi="Cambria"/>
          <w:sz w:val="16"/>
          <w:szCs w:val="16"/>
        </w:rPr>
      </w:pPr>
      <w:r w:rsidRPr="00C53196">
        <w:rPr>
          <w:rStyle w:val="FootnoteReference"/>
          <w:rFonts w:ascii="Cambria" w:hAnsi="Cambria"/>
          <w:sz w:val="16"/>
          <w:szCs w:val="16"/>
        </w:rPr>
        <w:footnoteRef/>
      </w:r>
      <w:r w:rsidRPr="00DA5950">
        <w:rPr>
          <w:rFonts w:ascii="Cambria" w:hAnsi="Cambria"/>
          <w:sz w:val="16"/>
          <w:szCs w:val="16"/>
        </w:rPr>
        <w:t xml:space="preserve"> </w:t>
      </w:r>
      <w:r w:rsidR="00611CC2" w:rsidRPr="00DA5950">
        <w:rPr>
          <w:rFonts w:ascii="Cambria" w:hAnsi="Cambria"/>
          <w:sz w:val="16"/>
          <w:szCs w:val="16"/>
        </w:rPr>
        <w:t>See in this regard, IACHR, Resolution 3/20 on differentiated actions to address the procedural backlog in friendly settlement procedures, approved on April 21, 2020. See also, IACHR, Report No. 3/20, Case 12.095. Friendly Settlement. Mariela Barreto Riofano. Peru. February 24, 2020. Para. 51</w:t>
      </w:r>
      <w:r w:rsidRPr="00DA5950">
        <w:rPr>
          <w:rFonts w:ascii="Cambria" w:hAnsi="Cambria"/>
          <w:sz w:val="16"/>
          <w:szCs w:val="16"/>
        </w:rPr>
        <w:t>.</w:t>
      </w:r>
    </w:p>
  </w:footnote>
  <w:footnote w:id="6">
    <w:p w14:paraId="32747E80" w14:textId="2263C956" w:rsidR="00610F29" w:rsidRPr="00C53196" w:rsidRDefault="00610F29" w:rsidP="00610F29">
      <w:pPr>
        <w:pStyle w:val="FootnoteText"/>
        <w:ind w:firstLine="720"/>
        <w:jc w:val="both"/>
        <w:rPr>
          <w:rFonts w:ascii="Cambria" w:hAnsi="Cambria"/>
          <w:color w:val="auto"/>
          <w:sz w:val="16"/>
          <w:szCs w:val="16"/>
          <w:lang w:val="es-CO"/>
        </w:rPr>
      </w:pPr>
      <w:r w:rsidRPr="00C53196">
        <w:rPr>
          <w:rStyle w:val="FootnoteReference"/>
          <w:rFonts w:ascii="Cambria" w:hAnsi="Cambria"/>
          <w:color w:val="auto"/>
          <w:sz w:val="16"/>
          <w:szCs w:val="16"/>
        </w:rPr>
        <w:footnoteRef/>
      </w:r>
      <w:r w:rsidRPr="00DA5950">
        <w:rPr>
          <w:rFonts w:ascii="Cambria" w:hAnsi="Cambria"/>
          <w:color w:val="auto"/>
          <w:sz w:val="16"/>
          <w:szCs w:val="16"/>
        </w:rPr>
        <w:t xml:space="preserve"> </w:t>
      </w:r>
      <w:r w:rsidR="00521108" w:rsidRPr="00DA5950">
        <w:rPr>
          <w:rFonts w:ascii="Cambria" w:hAnsi="Cambria"/>
          <w:color w:val="auto"/>
          <w:sz w:val="16"/>
          <w:szCs w:val="16"/>
        </w:rPr>
        <w:t xml:space="preserve">It should be noted that in the minutes signed on January 20, 2022, the parties established that paragraphs "c" and "e" regarding possible financial compensation once the investigations were completed (different from that described in paragraph 1 of these minutes), the public act of acknowledgment of responsibility and the establishment of a health route, would be monitored by the Mexican State at the domestic level through the SEGOB and would be understood to be outside of the monitoring conducted by the IACHR. </w:t>
      </w:r>
      <w:r w:rsidR="00521108" w:rsidRPr="00521108">
        <w:rPr>
          <w:rFonts w:ascii="Cambria" w:hAnsi="Cambria"/>
          <w:color w:val="auto"/>
          <w:sz w:val="16"/>
          <w:szCs w:val="16"/>
          <w:lang w:val="es-CO"/>
        </w:rPr>
        <w:t xml:space="preserve">Therefore, the Commission will not </w:t>
      </w:r>
      <w:r w:rsidR="00F50705">
        <w:rPr>
          <w:rFonts w:ascii="Cambria" w:hAnsi="Cambria"/>
          <w:color w:val="auto"/>
          <w:sz w:val="16"/>
          <w:szCs w:val="16"/>
          <w:lang w:val="es-CO"/>
        </w:rPr>
        <w:t xml:space="preserve">comment </w:t>
      </w:r>
      <w:r w:rsidR="00521108" w:rsidRPr="00521108">
        <w:rPr>
          <w:rFonts w:ascii="Cambria" w:hAnsi="Cambria"/>
          <w:color w:val="auto"/>
          <w:sz w:val="16"/>
          <w:szCs w:val="16"/>
          <w:lang w:val="es-CO"/>
        </w:rPr>
        <w:t>on these commitments</w:t>
      </w:r>
      <w:r w:rsidRPr="00C53196">
        <w:rPr>
          <w:rFonts w:ascii="Cambria" w:eastAsia="MS Mincho" w:hAnsi="Cambria"/>
          <w:color w:val="auto"/>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23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BC4FB6" w:rsidP="002C1641">
    <w:pPr>
      <w:pStyle w:val="Header"/>
      <w:tabs>
        <w:tab w:val="clear" w:pos="4320"/>
        <w:tab w:val="clear" w:pos="8640"/>
      </w:tabs>
      <w:jc w:val="center"/>
      <w:rPr>
        <w:sz w:val="22"/>
        <w:szCs w:val="22"/>
      </w:rPr>
    </w:pPr>
    <w:r>
      <w:rPr>
        <w:noProof/>
        <w:sz w:val="22"/>
        <w:szCs w:val="22"/>
        <w:bdr w:val="nil"/>
      </w:rPr>
      <w:pict w14:anchorId="41F17C1F">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393B31"/>
    <w:multiLevelType w:val="hybridMultilevel"/>
    <w:tmpl w:val="379480D4"/>
    <w:lvl w:ilvl="0" w:tplc="A5762CF0">
      <w:start w:val="1"/>
      <w:numFmt w:val="upperLetter"/>
      <w:lvlText w:val="%1)"/>
      <w:lvlJc w:val="left"/>
      <w:pPr>
        <w:ind w:left="1080" w:hanging="360"/>
      </w:pPr>
      <w:rPr>
        <w:rFonts w:hint="default"/>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2F27CE7"/>
    <w:multiLevelType w:val="hybridMultilevel"/>
    <w:tmpl w:val="832C97C0"/>
    <w:lvl w:ilvl="0" w:tplc="874A80E0">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E57966"/>
    <w:multiLevelType w:val="hybridMultilevel"/>
    <w:tmpl w:val="C200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8125708"/>
    <w:multiLevelType w:val="hybridMultilevel"/>
    <w:tmpl w:val="ECA07914"/>
    <w:lvl w:ilvl="0" w:tplc="676C0B6A">
      <w:start w:val="1"/>
      <w:numFmt w:val="decimal"/>
      <w:lvlText w:val="%1."/>
      <w:lvlJc w:val="left"/>
      <w:pPr>
        <w:ind w:left="1800" w:hanging="360"/>
      </w:pPr>
      <w:rPr>
        <w:rFonts w:ascii="Cambria" w:hAnsi="Cambria"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462963"/>
    <w:multiLevelType w:val="hybridMultilevel"/>
    <w:tmpl w:val="9F34FC32"/>
    <w:lvl w:ilvl="0" w:tplc="C96AA158">
      <w:start w:val="1"/>
      <w:numFmt w:val="decimal"/>
      <w:lvlText w:val="%1."/>
      <w:lvlJc w:val="left"/>
      <w:pPr>
        <w:ind w:left="1800" w:hanging="360"/>
      </w:pPr>
      <w:rPr>
        <w:rFonts w:ascii="Cambria" w:eastAsia="Times New Roman" w:hAnsi="Cambria" w:cs="Cambria"/>
        <w:b w:val="0"/>
        <w:i w:val="0"/>
        <w:iCs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92238674">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289630474">
    <w:abstractNumId w:val="4"/>
  </w:num>
  <w:num w:numId="3" w16cid:durableId="1925138327">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0192219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34669327">
    <w:abstractNumId w:val="7"/>
  </w:num>
  <w:num w:numId="6" w16cid:durableId="553590889">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644090258">
    <w:abstractNumId w:val="63"/>
  </w:num>
  <w:num w:numId="8" w16cid:durableId="979070274">
    <w:abstractNumId w:val="23"/>
  </w:num>
  <w:num w:numId="9" w16cid:durableId="744229055">
    <w:abstractNumId w:val="53"/>
  </w:num>
  <w:num w:numId="10" w16cid:durableId="710033399">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656034568">
    <w:abstractNumId w:val="30"/>
  </w:num>
  <w:num w:numId="12" w16cid:durableId="23482475">
    <w:abstractNumId w:val="61"/>
  </w:num>
  <w:num w:numId="13" w16cid:durableId="28720720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838228913">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23088790">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970277629">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65248820">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26259099">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604314190">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727655662">
    <w:abstractNumId w:val="9"/>
  </w:num>
  <w:num w:numId="21" w16cid:durableId="24052694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59990053">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94011260">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962609053">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2774882">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781948244">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86131077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6372237">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70741143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526120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0010691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318072534">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54931109">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051492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0257806">
    <w:abstractNumId w:val="19"/>
  </w:num>
  <w:num w:numId="36" w16cid:durableId="512305943">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01829901">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03450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741412684">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33292351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79708939">
    <w:abstractNumId w:val="6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30488493">
    <w:abstractNumId w:val="41"/>
  </w:num>
  <w:num w:numId="43" w16cid:durableId="585958874">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35373034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0362411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0128493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694044718">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53843442">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165125191">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853301302">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25167081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91899799">
    <w:abstractNumId w:val="45"/>
  </w:num>
  <w:num w:numId="53" w16cid:durableId="1674256508">
    <w:abstractNumId w:val="0"/>
  </w:num>
  <w:num w:numId="54" w16cid:durableId="328289490">
    <w:abstractNumId w:val="40"/>
  </w:num>
  <w:num w:numId="55" w16cid:durableId="52966830">
    <w:abstractNumId w:val="41"/>
  </w:num>
  <w:num w:numId="56" w16cid:durableId="2031712440">
    <w:abstractNumId w:val="46"/>
  </w:num>
  <w:num w:numId="57" w16cid:durableId="988286315">
    <w:abstractNumId w:val="1"/>
  </w:num>
  <w:num w:numId="58" w16cid:durableId="660932786">
    <w:abstractNumId w:val="2"/>
  </w:num>
  <w:num w:numId="59" w16cid:durableId="1295603021">
    <w:abstractNumId w:val="10"/>
  </w:num>
  <w:num w:numId="60" w16cid:durableId="1635525239">
    <w:abstractNumId w:val="11"/>
  </w:num>
  <w:num w:numId="61" w16cid:durableId="1376467736">
    <w:abstractNumId w:val="12"/>
  </w:num>
  <w:num w:numId="62" w16cid:durableId="2051685552">
    <w:abstractNumId w:val="13"/>
  </w:num>
  <w:num w:numId="63" w16cid:durableId="1954092195">
    <w:abstractNumId w:val="14"/>
  </w:num>
  <w:num w:numId="64" w16cid:durableId="946888988">
    <w:abstractNumId w:val="15"/>
  </w:num>
  <w:num w:numId="65" w16cid:durableId="1964074556">
    <w:abstractNumId w:val="16"/>
  </w:num>
  <w:num w:numId="66" w16cid:durableId="1814832409">
    <w:abstractNumId w:val="17"/>
  </w:num>
  <w:num w:numId="67" w16cid:durableId="948394290">
    <w:abstractNumId w:val="18"/>
  </w:num>
  <w:num w:numId="68" w16cid:durableId="1638756803">
    <w:abstractNumId w:val="20"/>
  </w:num>
  <w:num w:numId="69" w16cid:durableId="1624967865">
    <w:abstractNumId w:val="21"/>
  </w:num>
  <w:num w:numId="70" w16cid:durableId="2043244992">
    <w:abstractNumId w:val="24"/>
  </w:num>
  <w:num w:numId="71" w16cid:durableId="2132673565">
    <w:abstractNumId w:val="25"/>
  </w:num>
  <w:num w:numId="72" w16cid:durableId="441926786">
    <w:abstractNumId w:val="26"/>
  </w:num>
  <w:num w:numId="73" w16cid:durableId="843399322">
    <w:abstractNumId w:val="29"/>
  </w:num>
  <w:num w:numId="74" w16cid:durableId="336033175">
    <w:abstractNumId w:val="31"/>
  </w:num>
  <w:num w:numId="75" w16cid:durableId="1564364854">
    <w:abstractNumId w:val="32"/>
  </w:num>
  <w:num w:numId="76" w16cid:durableId="1366178073">
    <w:abstractNumId w:val="33"/>
  </w:num>
  <w:num w:numId="77" w16cid:durableId="720907309">
    <w:abstractNumId w:val="34"/>
  </w:num>
  <w:num w:numId="78" w16cid:durableId="1926572843">
    <w:abstractNumId w:val="35"/>
  </w:num>
  <w:num w:numId="79" w16cid:durableId="1538931130">
    <w:abstractNumId w:val="36"/>
  </w:num>
  <w:num w:numId="80" w16cid:durableId="1879511819">
    <w:abstractNumId w:val="37"/>
  </w:num>
  <w:num w:numId="81" w16cid:durableId="1428386966">
    <w:abstractNumId w:val="38"/>
  </w:num>
  <w:num w:numId="82" w16cid:durableId="142551894">
    <w:abstractNumId w:val="42"/>
  </w:num>
  <w:num w:numId="83" w16cid:durableId="824711039">
    <w:abstractNumId w:val="43"/>
  </w:num>
  <w:num w:numId="84" w16cid:durableId="1108282090">
    <w:abstractNumId w:val="50"/>
  </w:num>
  <w:num w:numId="85" w16cid:durableId="1611428575">
    <w:abstractNumId w:val="55"/>
  </w:num>
  <w:num w:numId="86" w16cid:durableId="1270040612">
    <w:abstractNumId w:val="57"/>
  </w:num>
  <w:num w:numId="87" w16cid:durableId="1808666855">
    <w:abstractNumId w:val="60"/>
  </w:num>
  <w:num w:numId="88" w16cid:durableId="751901012">
    <w:abstractNumId w:val="62"/>
  </w:num>
  <w:num w:numId="89" w16cid:durableId="64649807">
    <w:abstractNumId w:val="64"/>
  </w:num>
  <w:num w:numId="90" w16cid:durableId="119230681">
    <w:abstractNumId w:val="65"/>
  </w:num>
  <w:num w:numId="91" w16cid:durableId="803155736">
    <w:abstractNumId w:val="66"/>
  </w:num>
  <w:num w:numId="92" w16cid:durableId="1357391496">
    <w:abstractNumId w:val="67"/>
  </w:num>
  <w:num w:numId="93" w16cid:durableId="343672891">
    <w:abstractNumId w:val="68"/>
  </w:num>
  <w:num w:numId="94" w16cid:durableId="592787785">
    <w:abstractNumId w:val="22"/>
  </w:num>
  <w:num w:numId="95" w16cid:durableId="1631744929">
    <w:abstractNumId w:val="44"/>
  </w:num>
  <w:num w:numId="96" w16cid:durableId="1848640289">
    <w:abstractNumId w:val="58"/>
  </w:num>
  <w:num w:numId="97" w16cid:durableId="821628064">
    <w:abstractNumId w:val="56"/>
  </w:num>
  <w:num w:numId="98" w16cid:durableId="1577782847">
    <w:abstractNumId w:val="47"/>
  </w:num>
  <w:num w:numId="99" w16cid:durableId="7104647">
    <w:abstractNumId w:val="39"/>
  </w:num>
  <w:num w:numId="100" w16cid:durableId="782310190">
    <w:abstractNumId w:val="3"/>
  </w:num>
  <w:num w:numId="101" w16cid:durableId="1471752925">
    <w:abstractNumId w:val="28"/>
  </w:num>
  <w:num w:numId="102" w16cid:durableId="1606696121">
    <w:abstractNumId w:val="51"/>
  </w:num>
  <w:num w:numId="103" w16cid:durableId="1023745379">
    <w:abstractNumId w:val="5"/>
  </w:num>
  <w:num w:numId="104" w16cid:durableId="656763769">
    <w:abstractNumId w:val="48"/>
  </w:num>
  <w:num w:numId="105" w16cid:durableId="1397509492">
    <w:abstractNumId w:val="49"/>
  </w:num>
  <w:num w:numId="106" w16cid:durableId="414670836">
    <w:abstractNumId w:val="27"/>
  </w:num>
  <w:num w:numId="107" w16cid:durableId="712535051">
    <w:abstractNumId w:val="52"/>
  </w:num>
  <w:num w:numId="108" w16cid:durableId="2005742471">
    <w:abstractNumId w:val="59"/>
  </w:num>
  <w:num w:numId="109" w16cid:durableId="1340347059">
    <w:abstractNumId w:val="6"/>
  </w:num>
  <w:num w:numId="110" w16cid:durableId="410781638">
    <w:abstractNumId w:val="8"/>
  </w:num>
  <w:num w:numId="111" w16cid:durableId="2064209236">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36A8A"/>
    <w:rsid w:val="00040C3A"/>
    <w:rsid w:val="0005137C"/>
    <w:rsid w:val="000639C0"/>
    <w:rsid w:val="00070F3A"/>
    <w:rsid w:val="000716C5"/>
    <w:rsid w:val="00075E23"/>
    <w:rsid w:val="00092F32"/>
    <w:rsid w:val="0009344A"/>
    <w:rsid w:val="000A575F"/>
    <w:rsid w:val="000B01F2"/>
    <w:rsid w:val="000B711D"/>
    <w:rsid w:val="000C5498"/>
    <w:rsid w:val="000D10DB"/>
    <w:rsid w:val="000D16DA"/>
    <w:rsid w:val="00117E4A"/>
    <w:rsid w:val="0013104F"/>
    <w:rsid w:val="00137EBA"/>
    <w:rsid w:val="00145EDC"/>
    <w:rsid w:val="00167A34"/>
    <w:rsid w:val="0018037F"/>
    <w:rsid w:val="001A5F27"/>
    <w:rsid w:val="001A7870"/>
    <w:rsid w:val="001C1B41"/>
    <w:rsid w:val="002029FC"/>
    <w:rsid w:val="00210E0E"/>
    <w:rsid w:val="00234A3E"/>
    <w:rsid w:val="00247403"/>
    <w:rsid w:val="00247542"/>
    <w:rsid w:val="00257893"/>
    <w:rsid w:val="00266092"/>
    <w:rsid w:val="00266B61"/>
    <w:rsid w:val="0026712A"/>
    <w:rsid w:val="002704DB"/>
    <w:rsid w:val="002910E9"/>
    <w:rsid w:val="002A65AC"/>
    <w:rsid w:val="002C1641"/>
    <w:rsid w:val="002D7EA2"/>
    <w:rsid w:val="002E15DF"/>
    <w:rsid w:val="002E187C"/>
    <w:rsid w:val="002E6E57"/>
    <w:rsid w:val="002F6454"/>
    <w:rsid w:val="00301075"/>
    <w:rsid w:val="00302733"/>
    <w:rsid w:val="00302AED"/>
    <w:rsid w:val="00311A4F"/>
    <w:rsid w:val="00314078"/>
    <w:rsid w:val="00322450"/>
    <w:rsid w:val="00323147"/>
    <w:rsid w:val="003245F2"/>
    <w:rsid w:val="003246B5"/>
    <w:rsid w:val="0033169F"/>
    <w:rsid w:val="003414AC"/>
    <w:rsid w:val="00351FE3"/>
    <w:rsid w:val="00356185"/>
    <w:rsid w:val="00360380"/>
    <w:rsid w:val="00360BA0"/>
    <w:rsid w:val="003815A8"/>
    <w:rsid w:val="00386CF0"/>
    <w:rsid w:val="003A2C10"/>
    <w:rsid w:val="003C32BC"/>
    <w:rsid w:val="003D2201"/>
    <w:rsid w:val="003F1BBF"/>
    <w:rsid w:val="00411A89"/>
    <w:rsid w:val="004165C2"/>
    <w:rsid w:val="00440483"/>
    <w:rsid w:val="00450A4A"/>
    <w:rsid w:val="0046030A"/>
    <w:rsid w:val="004666FB"/>
    <w:rsid w:val="00467B7E"/>
    <w:rsid w:val="0049165C"/>
    <w:rsid w:val="0049419D"/>
    <w:rsid w:val="00496BF5"/>
    <w:rsid w:val="004A23CA"/>
    <w:rsid w:val="004B2762"/>
    <w:rsid w:val="004B7EB6"/>
    <w:rsid w:val="004C4B62"/>
    <w:rsid w:val="004D3187"/>
    <w:rsid w:val="004D6025"/>
    <w:rsid w:val="004D72BC"/>
    <w:rsid w:val="00501399"/>
    <w:rsid w:val="00507BC4"/>
    <w:rsid w:val="005128E4"/>
    <w:rsid w:val="00521108"/>
    <w:rsid w:val="00525560"/>
    <w:rsid w:val="005357A6"/>
    <w:rsid w:val="00544C49"/>
    <w:rsid w:val="0057402A"/>
    <w:rsid w:val="005771D0"/>
    <w:rsid w:val="00583125"/>
    <w:rsid w:val="0059191A"/>
    <w:rsid w:val="005921FF"/>
    <w:rsid w:val="005A6D0E"/>
    <w:rsid w:val="005B222D"/>
    <w:rsid w:val="005B52B0"/>
    <w:rsid w:val="005B6806"/>
    <w:rsid w:val="005C00F9"/>
    <w:rsid w:val="005C4225"/>
    <w:rsid w:val="005C7F2D"/>
    <w:rsid w:val="005E10DF"/>
    <w:rsid w:val="005F0F33"/>
    <w:rsid w:val="00600DEB"/>
    <w:rsid w:val="00610F29"/>
    <w:rsid w:val="00611CC2"/>
    <w:rsid w:val="00613027"/>
    <w:rsid w:val="00627C9F"/>
    <w:rsid w:val="006311DA"/>
    <w:rsid w:val="006311E9"/>
    <w:rsid w:val="00632354"/>
    <w:rsid w:val="00642810"/>
    <w:rsid w:val="00652333"/>
    <w:rsid w:val="00663930"/>
    <w:rsid w:val="0068009E"/>
    <w:rsid w:val="006844B3"/>
    <w:rsid w:val="00695767"/>
    <w:rsid w:val="006A17D2"/>
    <w:rsid w:val="006A2535"/>
    <w:rsid w:val="006A73E6"/>
    <w:rsid w:val="006B2126"/>
    <w:rsid w:val="006B2D5C"/>
    <w:rsid w:val="006C4EB1"/>
    <w:rsid w:val="006E0166"/>
    <w:rsid w:val="006E7B34"/>
    <w:rsid w:val="006F2828"/>
    <w:rsid w:val="00701B24"/>
    <w:rsid w:val="00745899"/>
    <w:rsid w:val="007607C4"/>
    <w:rsid w:val="0076643F"/>
    <w:rsid w:val="007A2F70"/>
    <w:rsid w:val="007C3334"/>
    <w:rsid w:val="007C52BB"/>
    <w:rsid w:val="007D2B98"/>
    <w:rsid w:val="007E21D0"/>
    <w:rsid w:val="00803F1C"/>
    <w:rsid w:val="00805112"/>
    <w:rsid w:val="0080600E"/>
    <w:rsid w:val="008137D6"/>
    <w:rsid w:val="00817612"/>
    <w:rsid w:val="00837C45"/>
    <w:rsid w:val="00846AD5"/>
    <w:rsid w:val="00853419"/>
    <w:rsid w:val="00882DBE"/>
    <w:rsid w:val="00897E12"/>
    <w:rsid w:val="008D43BA"/>
    <w:rsid w:val="008E3759"/>
    <w:rsid w:val="009041DC"/>
    <w:rsid w:val="009104B4"/>
    <w:rsid w:val="00925FCD"/>
    <w:rsid w:val="0093441A"/>
    <w:rsid w:val="00935E06"/>
    <w:rsid w:val="00944C82"/>
    <w:rsid w:val="00954BF7"/>
    <w:rsid w:val="009612F7"/>
    <w:rsid w:val="0096706E"/>
    <w:rsid w:val="00981FBA"/>
    <w:rsid w:val="009838AB"/>
    <w:rsid w:val="009B381B"/>
    <w:rsid w:val="009D7611"/>
    <w:rsid w:val="009D770B"/>
    <w:rsid w:val="009E53DE"/>
    <w:rsid w:val="00A21861"/>
    <w:rsid w:val="00A43458"/>
    <w:rsid w:val="00A44EF5"/>
    <w:rsid w:val="00A528D1"/>
    <w:rsid w:val="00A66BE5"/>
    <w:rsid w:val="00A82FDD"/>
    <w:rsid w:val="00AD37C1"/>
    <w:rsid w:val="00AE66EC"/>
    <w:rsid w:val="00AE6F91"/>
    <w:rsid w:val="00AF184F"/>
    <w:rsid w:val="00AF5571"/>
    <w:rsid w:val="00B167E9"/>
    <w:rsid w:val="00B17239"/>
    <w:rsid w:val="00B314DB"/>
    <w:rsid w:val="00B31EBE"/>
    <w:rsid w:val="00B35681"/>
    <w:rsid w:val="00B3718B"/>
    <w:rsid w:val="00B42A82"/>
    <w:rsid w:val="00B4632A"/>
    <w:rsid w:val="00B672D5"/>
    <w:rsid w:val="00BA276C"/>
    <w:rsid w:val="00BB306F"/>
    <w:rsid w:val="00BC4FB6"/>
    <w:rsid w:val="00BC7EE9"/>
    <w:rsid w:val="00BD232B"/>
    <w:rsid w:val="00BD4B89"/>
    <w:rsid w:val="00C21762"/>
    <w:rsid w:val="00C24543"/>
    <w:rsid w:val="00C256A2"/>
    <w:rsid w:val="00C3492D"/>
    <w:rsid w:val="00C55560"/>
    <w:rsid w:val="00C66B72"/>
    <w:rsid w:val="00C9567A"/>
    <w:rsid w:val="00C96447"/>
    <w:rsid w:val="00CB2660"/>
    <w:rsid w:val="00CC1279"/>
    <w:rsid w:val="00CC5E90"/>
    <w:rsid w:val="00CD046C"/>
    <w:rsid w:val="00CD5543"/>
    <w:rsid w:val="00CD60A0"/>
    <w:rsid w:val="00CE5199"/>
    <w:rsid w:val="00CE66D5"/>
    <w:rsid w:val="00D34786"/>
    <w:rsid w:val="00D40A1E"/>
    <w:rsid w:val="00D513B2"/>
    <w:rsid w:val="00D712D3"/>
    <w:rsid w:val="00D71422"/>
    <w:rsid w:val="00D7145E"/>
    <w:rsid w:val="00D7558D"/>
    <w:rsid w:val="00D81D92"/>
    <w:rsid w:val="00D93446"/>
    <w:rsid w:val="00DA37B6"/>
    <w:rsid w:val="00DA5950"/>
    <w:rsid w:val="00DA7B5F"/>
    <w:rsid w:val="00DD57D6"/>
    <w:rsid w:val="00E43157"/>
    <w:rsid w:val="00E533FF"/>
    <w:rsid w:val="00E709B3"/>
    <w:rsid w:val="00E8789F"/>
    <w:rsid w:val="00E97B71"/>
    <w:rsid w:val="00EB454D"/>
    <w:rsid w:val="00EC1067"/>
    <w:rsid w:val="00EC45F2"/>
    <w:rsid w:val="00EE3522"/>
    <w:rsid w:val="00EF619B"/>
    <w:rsid w:val="00EF790C"/>
    <w:rsid w:val="00F00B55"/>
    <w:rsid w:val="00F1380F"/>
    <w:rsid w:val="00F14F0E"/>
    <w:rsid w:val="00F24C29"/>
    <w:rsid w:val="00F253CC"/>
    <w:rsid w:val="00F50705"/>
    <w:rsid w:val="00F538CE"/>
    <w:rsid w:val="00F56BA5"/>
    <w:rsid w:val="00F644E6"/>
    <w:rsid w:val="00F73313"/>
    <w:rsid w:val="00F8356F"/>
    <w:rsid w:val="00F9653B"/>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38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character" w:customStyle="1" w:styleId="Heading2Char">
    <w:name w:val="Heading 2 Char"/>
    <w:basedOn w:val="DefaultParagraphFont"/>
    <w:link w:val="Heading2"/>
    <w:uiPriority w:val="9"/>
    <w:semiHidden/>
    <w:rsid w:val="00F538CE"/>
    <w:rPr>
      <w:rFonts w:asciiTheme="majorHAnsi" w:eastAsiaTheme="majorEastAsia" w:hAnsiTheme="majorHAnsi" w:cstheme="majorBidi"/>
      <w:color w:val="365F91" w:themeColor="accent1" w:themeShade="BF"/>
      <w:sz w:val="26"/>
      <w:szCs w:val="26"/>
      <w:lang w:val="en-US" w:eastAsia="en-US"/>
    </w:rPr>
  </w:style>
  <w:style w:type="character" w:styleId="CommentReference">
    <w:name w:val="annotation reference"/>
    <w:basedOn w:val="DefaultParagraphFont"/>
    <w:uiPriority w:val="99"/>
    <w:semiHidden/>
    <w:unhideWhenUsed/>
    <w:rsid w:val="00F538CE"/>
    <w:rPr>
      <w:sz w:val="16"/>
      <w:szCs w:val="16"/>
    </w:rPr>
  </w:style>
  <w:style w:type="character" w:customStyle="1" w:styleId="ui-provider">
    <w:name w:val="ui-provider"/>
    <w:basedOn w:val="DefaultParagraphFont"/>
    <w:rsid w:val="00F538CE"/>
  </w:style>
  <w:style w:type="character" w:customStyle="1" w:styleId="normaltextrun">
    <w:name w:val="normaltextrun"/>
    <w:basedOn w:val="DefaultParagraphFont"/>
    <w:rsid w:val="00611CC2"/>
  </w:style>
  <w:style w:type="paragraph" w:styleId="Revision">
    <w:name w:val="Revision"/>
    <w:hidden/>
    <w:uiPriority w:val="99"/>
    <w:semiHidden/>
    <w:rsid w:val="00A82FD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4983</Words>
  <Characters>28409</Characters>
  <Application>Microsoft Office Word</Application>
  <DocSecurity>0</DocSecurity>
  <Lines>236</Lines>
  <Paragraphs>66</Paragraphs>
  <ScaleCrop>false</ScaleCrop>
  <Company/>
  <LinksUpToDate>false</LinksUpToDate>
  <CharactersWithSpaces>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2023-11-16T17:46:00Z</dcterms:created>
  <dcterms:modified xsi:type="dcterms:W3CDTF">2023-11-16T17:46:00Z</dcterms:modified>
</cp:coreProperties>
</file>